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z w:val="32"/>
          <w:szCs w:val="32"/>
        </w:rPr>
      </w:pPr>
      <w:bookmarkStart w:id="0" w:name="_GoBack"/>
      <w:r>
        <w:rPr>
          <w:rFonts w:hint="eastAsia" w:ascii="宋体" w:hAnsi="宋体"/>
          <w:b/>
          <w:bCs/>
          <w:sz w:val="32"/>
          <w:szCs w:val="32"/>
        </w:rPr>
        <w:t>新乡市华幸生物科技有限公司年产30000吨葡萄糖酸钠、1200吨沙坦联苯项目</w:t>
      </w:r>
      <w:r>
        <w:rPr>
          <w:rFonts w:hint="eastAsia" w:ascii="宋体" w:hAnsi="宋体"/>
          <w:b/>
          <w:sz w:val="32"/>
          <w:szCs w:val="32"/>
        </w:rPr>
        <w:t>竣工环境保护验收</w:t>
      </w:r>
      <w:r>
        <w:rPr>
          <w:rFonts w:hint="eastAsia"/>
          <w:b/>
          <w:color w:val="000000"/>
          <w:sz w:val="30"/>
          <w:szCs w:val="30"/>
        </w:rPr>
        <w:t>意见</w:t>
      </w:r>
    </w:p>
    <w:bookmarkEnd w:id="0"/>
    <w:p>
      <w:pPr>
        <w:spacing w:line="360" w:lineRule="auto"/>
        <w:jc w:val="center"/>
        <w:rPr>
          <w:b/>
          <w:color w:val="000000"/>
          <w:sz w:val="32"/>
          <w:szCs w:val="32"/>
        </w:rPr>
      </w:pPr>
    </w:p>
    <w:p>
      <w:pPr>
        <w:snapToGrid w:val="0"/>
        <w:spacing w:line="360" w:lineRule="auto"/>
        <w:ind w:firstLine="520" w:firstLineChars="200"/>
        <w:rPr>
          <w:rFonts w:ascii="仿宋_GB2312" w:hAnsi="Calibri" w:eastAsia="仿宋_GB2312" w:cs="Times New Roman"/>
          <w:color w:val="000000"/>
          <w:sz w:val="26"/>
          <w:szCs w:val="26"/>
        </w:rPr>
      </w:pPr>
      <w:r>
        <w:rPr>
          <w:rFonts w:hint="eastAsia" w:ascii="仿宋_GB2312" w:hAnsi="Calibri" w:eastAsia="仿宋_GB2312" w:cs="Times New Roman"/>
          <w:color w:val="000000"/>
          <w:sz w:val="26"/>
          <w:szCs w:val="26"/>
        </w:rPr>
        <w:t>依据国务院第682号文颁布的新《建设项目环境保护管理条例》和原环境保护部国环规环评[2017]4号文公告的《建设项目竣工环境保护验收暂行办法》的相关要求，</w:t>
      </w:r>
      <w:r>
        <w:rPr>
          <w:rFonts w:hint="eastAsia" w:ascii="仿宋_GB2312" w:hAnsi="宋体" w:eastAsia="仿宋_GB2312"/>
          <w:bCs/>
          <w:sz w:val="26"/>
          <w:szCs w:val="26"/>
        </w:rPr>
        <w:t>新乡市华幸生物科技有限公司</w:t>
      </w:r>
      <w:r>
        <w:rPr>
          <w:rFonts w:hint="eastAsia" w:ascii="仿宋_GB2312" w:hAnsi="Calibri" w:eastAsia="仿宋_GB2312" w:cs="Times New Roman"/>
          <w:color w:val="000000"/>
          <w:sz w:val="26"/>
          <w:szCs w:val="26"/>
        </w:rPr>
        <w:t>于2020年1月</w:t>
      </w:r>
      <w:r>
        <w:rPr>
          <w:rFonts w:hint="eastAsia" w:ascii="仿宋_GB2312" w:eastAsia="仿宋_GB2312" w:cs="Times New Roman"/>
          <w:color w:val="000000"/>
          <w:sz w:val="26"/>
          <w:szCs w:val="26"/>
        </w:rPr>
        <w:t>20</w:t>
      </w:r>
      <w:r>
        <w:rPr>
          <w:rFonts w:hint="eastAsia" w:ascii="仿宋_GB2312" w:hAnsi="Calibri" w:eastAsia="仿宋_GB2312" w:cs="Times New Roman"/>
          <w:color w:val="000000"/>
          <w:sz w:val="26"/>
          <w:szCs w:val="26"/>
        </w:rPr>
        <w:t>日在</w:t>
      </w:r>
      <w:r>
        <w:rPr>
          <w:rFonts w:hint="eastAsia" w:ascii="仿宋_GB2312" w:hAnsi="宋体" w:eastAsia="仿宋_GB2312"/>
          <w:bCs/>
          <w:sz w:val="26"/>
          <w:szCs w:val="26"/>
        </w:rPr>
        <w:t>新乡市华幸生物科技有限公司</w:t>
      </w:r>
      <w:r>
        <w:rPr>
          <w:rFonts w:hint="eastAsia" w:ascii="仿宋_GB2312" w:hAnsi="宋体" w:eastAsia="仿宋_GB2312"/>
          <w:sz w:val="26"/>
          <w:szCs w:val="26"/>
        </w:rPr>
        <w:t>厂区</w:t>
      </w:r>
      <w:r>
        <w:rPr>
          <w:rFonts w:hint="eastAsia" w:ascii="仿宋_GB2312" w:hAnsi="Calibri" w:eastAsia="仿宋_GB2312" w:cs="Times New Roman"/>
          <w:color w:val="000000"/>
          <w:sz w:val="26"/>
          <w:szCs w:val="26"/>
        </w:rPr>
        <w:t>召开会议，对</w:t>
      </w:r>
      <w:r>
        <w:rPr>
          <w:rFonts w:hint="eastAsia" w:ascii="仿宋_GB2312" w:hAnsi="Calibri" w:eastAsia="仿宋_GB2312" w:cs="Times New Roman"/>
          <w:bCs/>
          <w:color w:val="000000"/>
          <w:sz w:val="26"/>
          <w:szCs w:val="26"/>
        </w:rPr>
        <w:t>新乡市华幸生物科技有限公司年产30000吨葡萄糖酸钠、1200吨沙坦联苯项目</w:t>
      </w:r>
      <w:r>
        <w:rPr>
          <w:rFonts w:hint="eastAsia" w:ascii="仿宋_GB2312" w:hAnsi="Calibri" w:eastAsia="仿宋_GB2312" w:cs="Times New Roman"/>
          <w:color w:val="000000"/>
          <w:sz w:val="26"/>
          <w:szCs w:val="26"/>
        </w:rPr>
        <w:t>进行竣工环境保护验收。会议成立了验收工作组，成员由建设单位</w:t>
      </w:r>
      <w:r>
        <w:rPr>
          <w:rFonts w:hint="eastAsia" w:ascii="仿宋_GB2312" w:hAnsi="宋体" w:eastAsia="仿宋_GB2312"/>
          <w:bCs/>
          <w:sz w:val="26"/>
          <w:szCs w:val="26"/>
        </w:rPr>
        <w:t>新乡市华幸生物科技有限公司</w:t>
      </w:r>
      <w:r>
        <w:rPr>
          <w:rFonts w:hint="eastAsia" w:ascii="仿宋_GB2312" w:hAnsi="Calibri" w:eastAsia="仿宋_GB2312" w:cs="Times New Roman"/>
          <w:color w:val="000000"/>
          <w:sz w:val="26"/>
          <w:szCs w:val="26"/>
        </w:rPr>
        <w:t>、验收检测单位河南和阳环境科技有限公司、河南宏达检测技术有限公司的代表及邀请的技术专家组成（验收工作组名单附后）。会前，验收工作组成员对工程主要生产设施、环保设施进行了现场检查，会议听取了建设单位关于项目建设情况及竣工环保工作的情况介绍、竣工环保验收监测报告编制单位关于验收监测工作技术汇报，查阅了竣工环保验收监测报告，核实了有关资料。经过认真审议与讨论，形成如下验收意见：</w:t>
      </w:r>
    </w:p>
    <w:p>
      <w:pPr>
        <w:snapToGrid w:val="0"/>
        <w:spacing w:line="360" w:lineRule="auto"/>
        <w:ind w:firstLine="562" w:firstLineChars="200"/>
        <w:rPr>
          <w:rFonts w:ascii="仿宋_GB2312" w:eastAsia="仿宋_GB2312"/>
          <w:b/>
          <w:color w:val="000000"/>
          <w:sz w:val="28"/>
          <w:szCs w:val="28"/>
        </w:rPr>
      </w:pPr>
      <w:r>
        <w:rPr>
          <w:rFonts w:hint="eastAsia" w:ascii="仿宋_GB2312" w:eastAsia="仿宋_GB2312"/>
          <w:b/>
          <w:color w:val="000000"/>
          <w:sz w:val="28"/>
          <w:szCs w:val="28"/>
        </w:rPr>
        <w:t>一、工程建设基本情况</w:t>
      </w:r>
    </w:p>
    <w:p>
      <w:pPr>
        <w:pStyle w:val="17"/>
        <w:snapToGrid w:val="0"/>
        <w:spacing w:before="0" w:beforeAutospacing="0" w:after="0" w:afterAutospacing="0" w:line="480" w:lineRule="exact"/>
        <w:ind w:firstLine="520" w:firstLineChars="200"/>
        <w:jc w:val="both"/>
        <w:outlineLvl w:val="0"/>
        <w:rPr>
          <w:rFonts w:ascii="仿宋_GB2312" w:eastAsia="仿宋_GB2312"/>
          <w:color w:val="000000"/>
          <w:sz w:val="26"/>
          <w:szCs w:val="26"/>
        </w:rPr>
      </w:pPr>
      <w:r>
        <w:rPr>
          <w:rFonts w:hint="eastAsia" w:ascii="仿宋_GB2312" w:eastAsia="仿宋_GB2312"/>
          <w:color w:val="000000"/>
          <w:sz w:val="26"/>
          <w:szCs w:val="26"/>
        </w:rPr>
        <w:t>（一）建设地点、规模、主要建设内容</w:t>
      </w:r>
    </w:p>
    <w:p>
      <w:pPr>
        <w:snapToGrid w:val="0"/>
        <w:spacing w:line="480" w:lineRule="exact"/>
        <w:ind w:left="54" w:firstLine="520" w:firstLineChars="200"/>
        <w:jc w:val="left"/>
        <w:rPr>
          <w:rFonts w:ascii="仿宋_GB2312" w:eastAsia="仿宋_GB2312"/>
          <w:sz w:val="26"/>
          <w:szCs w:val="26"/>
        </w:rPr>
      </w:pPr>
      <w:r>
        <w:rPr>
          <w:rFonts w:hint="eastAsia" w:ascii="仿宋_GB2312" w:hAnsi="宋体" w:eastAsia="仿宋_GB2312"/>
          <w:bCs/>
          <w:sz w:val="26"/>
          <w:szCs w:val="26"/>
        </w:rPr>
        <w:t>新乡市华幸生物科技有限公司</w:t>
      </w:r>
      <w:r>
        <w:rPr>
          <w:rFonts w:hint="eastAsia" w:ascii="仿宋_GB2312" w:hAnsi="宋体" w:eastAsia="仿宋_GB2312"/>
          <w:sz w:val="26"/>
          <w:szCs w:val="26"/>
        </w:rPr>
        <w:t>位于新乡县生物产业专业园区（新乡经济技术产业集聚区），项目厂区中心点经纬度坐标为：东经113°48′11.12″，北纬35°08′44.70″</w:t>
      </w:r>
      <w:r>
        <w:rPr>
          <w:rFonts w:hint="eastAsia" w:ascii="仿宋_GB2312" w:eastAsia="仿宋_GB2312"/>
          <w:sz w:val="26"/>
          <w:szCs w:val="26"/>
        </w:rPr>
        <w:t>。该项目属于新建项目，项目北临七里营大道，南侧紧邻澳柯建材，厂址北侧隔路为一建设企业，西侧为博科化工，周边较近的村庄为厂址东南700m处的刘庄、西北方向600m处的七里营镇。</w:t>
      </w:r>
      <w:r>
        <w:rPr>
          <w:rFonts w:ascii="仿宋_GB2312" w:eastAsia="仿宋_GB2312"/>
          <w:sz w:val="26"/>
          <w:szCs w:val="26"/>
        </w:rPr>
        <w:t>项目</w:t>
      </w:r>
      <w:r>
        <w:rPr>
          <w:rFonts w:hint="eastAsia" w:ascii="仿宋_GB2312" w:eastAsia="仿宋_GB2312"/>
          <w:sz w:val="26"/>
          <w:szCs w:val="26"/>
        </w:rPr>
        <w:t>实际职工人数130人，均不在厂内食宿，设计</w:t>
      </w:r>
      <w:r>
        <w:rPr>
          <w:rFonts w:ascii="仿宋_GB2312" w:eastAsia="仿宋_GB2312"/>
          <w:sz w:val="26"/>
          <w:szCs w:val="26"/>
        </w:rPr>
        <w:t>全年工作天数为</w:t>
      </w:r>
      <w:r>
        <w:rPr>
          <w:rFonts w:hint="eastAsia" w:ascii="仿宋_GB2312" w:eastAsia="仿宋_GB2312"/>
          <w:sz w:val="26"/>
          <w:szCs w:val="26"/>
        </w:rPr>
        <w:t>300</w:t>
      </w:r>
      <w:r>
        <w:rPr>
          <w:rFonts w:ascii="仿宋_GB2312" w:eastAsia="仿宋_GB2312"/>
          <w:sz w:val="26"/>
          <w:szCs w:val="26"/>
        </w:rPr>
        <w:t>天，工作制度为</w:t>
      </w:r>
      <w:r>
        <w:rPr>
          <w:rFonts w:hint="eastAsia" w:ascii="仿宋_GB2312" w:eastAsia="仿宋_GB2312"/>
          <w:sz w:val="26"/>
          <w:szCs w:val="26"/>
        </w:rPr>
        <w:t>三</w:t>
      </w:r>
      <w:r>
        <w:rPr>
          <w:rFonts w:ascii="仿宋_GB2312" w:eastAsia="仿宋_GB2312"/>
          <w:sz w:val="26"/>
          <w:szCs w:val="26"/>
        </w:rPr>
        <w:t>班制，每班工作8小时</w:t>
      </w:r>
      <w:r>
        <w:rPr>
          <w:rFonts w:hint="eastAsia" w:ascii="仿宋_GB2312" w:eastAsia="仿宋_GB2312"/>
          <w:sz w:val="26"/>
          <w:szCs w:val="26"/>
        </w:rPr>
        <w:t>。</w:t>
      </w:r>
    </w:p>
    <w:p>
      <w:pPr>
        <w:shd w:val="clear" w:color="auto" w:fill="FFFFFF"/>
        <w:snapToGrid w:val="0"/>
        <w:spacing w:line="480" w:lineRule="exact"/>
        <w:ind w:firstLine="520" w:firstLineChars="200"/>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（二）建设过程及环保审批情况</w:t>
      </w:r>
    </w:p>
    <w:p>
      <w:pPr>
        <w:snapToGrid w:val="0"/>
        <w:spacing w:line="480" w:lineRule="exact"/>
        <w:ind w:firstLine="520" w:firstLineChars="200"/>
        <w:rPr>
          <w:rFonts w:ascii="仿宋_GB2312" w:eastAsia="仿宋_GB2312"/>
          <w:color w:val="000000"/>
          <w:sz w:val="26"/>
          <w:szCs w:val="26"/>
        </w:rPr>
      </w:pPr>
      <w:r>
        <w:rPr>
          <w:rFonts w:hint="eastAsia" w:ascii="仿宋_GB2312" w:hAnsi="Calibri" w:eastAsia="仿宋_GB2312" w:cs="Times New Roman"/>
          <w:color w:val="000000"/>
          <w:sz w:val="26"/>
          <w:szCs w:val="26"/>
        </w:rPr>
        <w:t>本项目属未批先建项</w:t>
      </w:r>
      <w:r>
        <w:rPr>
          <w:rFonts w:ascii="仿宋_GB2312" w:hAnsi="Calibri" w:eastAsia="仿宋_GB2312" w:cs="Times New Roman"/>
          <w:color w:val="000000"/>
          <w:sz w:val="26"/>
          <w:szCs w:val="26"/>
        </w:rPr>
        <w:t>目，</w:t>
      </w:r>
      <w:r>
        <w:rPr>
          <w:rFonts w:hint="eastAsia" w:ascii="仿宋_GB2312" w:hAnsi="Calibri" w:eastAsia="仿宋_GB2312" w:cs="Times New Roman"/>
          <w:color w:val="000000"/>
          <w:sz w:val="26"/>
          <w:szCs w:val="26"/>
        </w:rPr>
        <w:t>为此新乡县环境保护局对该项目进行了处罚认定，并出具了监管意见。</w:t>
      </w:r>
      <w:r>
        <w:rPr>
          <w:rFonts w:ascii="仿宋_GB2312" w:hAnsi="Calibri" w:eastAsia="仿宋_GB2312" w:cs="Times New Roman"/>
          <w:color w:val="000000"/>
          <w:sz w:val="26"/>
          <w:szCs w:val="26"/>
        </w:rPr>
        <w:t>项目占地面积25000平方米，由于企业自身发展原因，本项目葡萄糖酸钠生产线不再进行建设，项目建设主体工程为：沙坦联苯生产车间、办公楼及配套相关辅助设施。本项目于新乡县发展和改革委员会（豫新新乡工[2011]00167）立项审批，2013年2月委托了郑州大学环境技术咨询工程公司对该项目补编了《新乡市华幸生物科技有限公司年产30000吨葡萄糖酸钠、1200吨沙坦联苯项目环境影响报告书》。2013年4月8日，河南省环境保护厅对该报告书进行了批复</w:t>
      </w:r>
      <w:r>
        <w:rPr>
          <w:rFonts w:hint="eastAsia" w:ascii="仿宋_GB2312" w:eastAsia="仿宋_GB2312"/>
          <w:color w:val="000000"/>
          <w:sz w:val="26"/>
          <w:szCs w:val="26"/>
        </w:rPr>
        <w:t>。本项目于2012年1月份开工建设，于2018年8月建设完成。</w:t>
      </w:r>
    </w:p>
    <w:p>
      <w:pPr>
        <w:tabs>
          <w:tab w:val="left" w:pos="4305"/>
        </w:tabs>
        <w:snapToGrid w:val="0"/>
        <w:spacing w:line="480" w:lineRule="exact"/>
        <w:ind w:firstLine="520" w:firstLineChars="200"/>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（三）投资情况</w:t>
      </w:r>
    </w:p>
    <w:p>
      <w:pPr>
        <w:shd w:val="clear" w:color="auto" w:fill="FFFFFF"/>
        <w:snapToGrid w:val="0"/>
        <w:spacing w:line="480" w:lineRule="exact"/>
        <w:ind w:firstLine="520" w:firstLineChars="200"/>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项目实际总投资6000万元、实际环保总投资136万元。</w:t>
      </w:r>
    </w:p>
    <w:p>
      <w:pPr>
        <w:pStyle w:val="17"/>
        <w:snapToGrid w:val="0"/>
        <w:spacing w:before="0" w:beforeAutospacing="0" w:after="0" w:afterAutospacing="0" w:line="480" w:lineRule="exact"/>
        <w:ind w:firstLine="520" w:firstLineChars="200"/>
        <w:jc w:val="both"/>
        <w:outlineLvl w:val="0"/>
        <w:rPr>
          <w:rFonts w:ascii="仿宋_GB2312" w:eastAsia="仿宋_GB2312"/>
          <w:color w:val="000000"/>
          <w:sz w:val="26"/>
          <w:szCs w:val="26"/>
        </w:rPr>
      </w:pPr>
      <w:r>
        <w:rPr>
          <w:rFonts w:hint="eastAsia" w:ascii="仿宋_GB2312" w:eastAsia="仿宋_GB2312"/>
          <w:color w:val="000000"/>
          <w:sz w:val="26"/>
          <w:szCs w:val="26"/>
        </w:rPr>
        <w:t>（三）验收范围</w:t>
      </w:r>
    </w:p>
    <w:p>
      <w:pPr>
        <w:shd w:val="clear" w:color="auto" w:fill="FFFFFF"/>
        <w:snapToGrid w:val="0"/>
        <w:spacing w:line="480" w:lineRule="exact"/>
        <w:ind w:firstLine="520" w:firstLineChars="200"/>
        <w:rPr>
          <w:rFonts w:ascii="仿宋_GB2312" w:hAnsi="宋体" w:eastAsia="仿宋_GB2312" w:cs="宋体"/>
          <w:color w:val="000000"/>
          <w:kern w:val="0"/>
          <w:sz w:val="26"/>
          <w:szCs w:val="26"/>
        </w:rPr>
      </w:pPr>
      <w:r>
        <w:rPr>
          <w:rFonts w:hint="eastAsia" w:ascii="仿宋_GB2312" w:eastAsia="仿宋_GB2312"/>
          <w:sz w:val="26"/>
          <w:szCs w:val="26"/>
        </w:rPr>
        <w:t>本次竣工环保验收对象为沙坦联苯生产线及其相应辅助设施进行验收。</w:t>
      </w:r>
    </w:p>
    <w:p>
      <w:pPr>
        <w:pStyle w:val="17"/>
        <w:snapToGrid w:val="0"/>
        <w:spacing w:before="0" w:beforeAutospacing="0" w:after="0" w:afterAutospacing="0" w:line="480" w:lineRule="exact"/>
        <w:jc w:val="both"/>
        <w:outlineLvl w:val="0"/>
        <w:rPr>
          <w:rFonts w:hint="eastAsia" w:ascii="仿宋_GB2312" w:eastAsia="仿宋_GB2312"/>
          <w:b/>
          <w:color w:val="000000"/>
          <w:sz w:val="28"/>
          <w:szCs w:val="28"/>
        </w:rPr>
      </w:pPr>
      <w:r>
        <w:rPr>
          <w:rFonts w:hint="eastAsia" w:ascii="仿宋_GB2312" w:eastAsia="仿宋_GB2312"/>
          <w:b/>
          <w:color w:val="000000"/>
          <w:sz w:val="28"/>
          <w:szCs w:val="28"/>
        </w:rPr>
        <w:t>二、工程变动情况</w:t>
      </w:r>
    </w:p>
    <w:p>
      <w:pPr>
        <w:pStyle w:val="22"/>
        <w:shd w:val="clear" w:color="auto" w:fill="auto"/>
        <w:spacing w:before="0" w:line="500" w:lineRule="exact"/>
        <w:ind w:firstLine="560" w:firstLineChars="200"/>
        <w:rPr>
          <w:rFonts w:ascii="仿宋_GB2312" w:hAnsi="Calibri" w:eastAsia="仿宋_GB2312" w:cs="Times New Roman"/>
          <w:color w:val="000000"/>
          <w:spacing w:val="0"/>
          <w:sz w:val="26"/>
          <w:szCs w:val="26"/>
        </w:rPr>
      </w:pPr>
      <w:r>
        <w:rPr>
          <w:rFonts w:hint="eastAsia" w:ascii="仿宋_GB2312" w:hAnsi="Calibri" w:eastAsia="仿宋_GB2312"/>
          <w:sz w:val="26"/>
          <w:szCs w:val="26"/>
        </w:rPr>
        <w:t>与环评报告书内容及批复意见相比，本项目实际建设内容总体相符，具体变动内容如下表1。</w:t>
      </w:r>
    </w:p>
    <w:p>
      <w:pPr>
        <w:shd w:val="clear" w:color="auto" w:fill="FFFFFF"/>
        <w:spacing w:before="156" w:beforeLines="50"/>
        <w:jc w:val="center"/>
        <w:rPr>
          <w:rFonts w:hint="eastAsia" w:ascii="宋体" w:hAnsi="宋体" w:cs="宋体"/>
          <w:b/>
          <w:bCs/>
          <w:kern w:val="0"/>
          <w:sz w:val="28"/>
          <w:szCs w:val="28"/>
        </w:rPr>
      </w:pPr>
      <w:r>
        <w:rPr>
          <w:rFonts w:ascii="Times New Roman" w:hAnsi="Times New Roman"/>
          <w:b/>
          <w:bCs/>
          <w:kern w:val="0"/>
          <w:sz w:val="28"/>
          <w:szCs w:val="28"/>
        </w:rPr>
        <w:t>表</w:t>
      </w:r>
      <w:r>
        <w:rPr>
          <w:rFonts w:hint="eastAsia" w:ascii="Times New Roman" w:hAnsi="Times New Roman"/>
          <w:b/>
          <w:bCs/>
          <w:kern w:val="0"/>
          <w:sz w:val="28"/>
          <w:szCs w:val="28"/>
        </w:rPr>
        <w:t>1</w:t>
      </w:r>
      <w:r>
        <w:rPr>
          <w:rFonts w:hint="eastAsia" w:ascii="宋体" w:hAnsi="宋体" w:cs="宋体"/>
          <w:b/>
          <w:bCs/>
          <w:kern w:val="0"/>
          <w:sz w:val="28"/>
          <w:szCs w:val="28"/>
        </w:rPr>
        <w:t xml:space="preserve">  工程变动情况一览表</w:t>
      </w:r>
    </w:p>
    <w:tbl>
      <w:tblPr>
        <w:tblStyle w:val="12"/>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50"/>
        <w:gridCol w:w="2184"/>
        <w:gridCol w:w="2220"/>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jc w:val="center"/>
              <w:rPr>
                <w:rFonts w:ascii="仿宋" w:hAnsi="仿宋" w:eastAsia="仿宋" w:cs="Times New Roman"/>
                <w:kern w:val="0"/>
                <w:sz w:val="22"/>
              </w:rPr>
            </w:pPr>
            <w:r>
              <w:rPr>
                <w:rFonts w:ascii="仿宋" w:hAnsi="仿宋" w:eastAsia="仿宋" w:cs="Times New Roman"/>
                <w:kern w:val="0"/>
                <w:sz w:val="22"/>
              </w:rPr>
              <w:t>类别</w:t>
            </w:r>
          </w:p>
        </w:tc>
        <w:tc>
          <w:tcPr>
            <w:tcW w:w="2350" w:type="dxa"/>
            <w:vAlign w:val="center"/>
          </w:tcPr>
          <w:p>
            <w:pPr>
              <w:snapToGrid w:val="0"/>
              <w:jc w:val="center"/>
              <w:rPr>
                <w:rFonts w:ascii="仿宋" w:hAnsi="仿宋" w:eastAsia="仿宋" w:cs="Times New Roman"/>
                <w:kern w:val="0"/>
                <w:sz w:val="22"/>
              </w:rPr>
            </w:pPr>
            <w:r>
              <w:rPr>
                <w:rFonts w:ascii="仿宋" w:hAnsi="仿宋" w:eastAsia="仿宋" w:cs="Times New Roman"/>
                <w:kern w:val="0"/>
                <w:sz w:val="22"/>
              </w:rPr>
              <w:t>原环评内容</w:t>
            </w:r>
          </w:p>
        </w:tc>
        <w:tc>
          <w:tcPr>
            <w:tcW w:w="2184" w:type="dxa"/>
            <w:vAlign w:val="center"/>
          </w:tcPr>
          <w:p>
            <w:pPr>
              <w:snapToGrid w:val="0"/>
              <w:jc w:val="center"/>
              <w:rPr>
                <w:rFonts w:ascii="仿宋" w:hAnsi="仿宋" w:eastAsia="仿宋" w:cs="Times New Roman"/>
                <w:kern w:val="0"/>
                <w:sz w:val="22"/>
              </w:rPr>
            </w:pPr>
            <w:r>
              <w:rPr>
                <w:rFonts w:ascii="仿宋" w:hAnsi="仿宋" w:eastAsia="仿宋" w:cs="Times New Roman"/>
                <w:kern w:val="0"/>
                <w:sz w:val="22"/>
              </w:rPr>
              <w:t>实际变动情况</w:t>
            </w:r>
          </w:p>
        </w:tc>
        <w:tc>
          <w:tcPr>
            <w:tcW w:w="2220" w:type="dxa"/>
            <w:vAlign w:val="center"/>
          </w:tcPr>
          <w:p>
            <w:pPr>
              <w:snapToGrid w:val="0"/>
              <w:jc w:val="center"/>
              <w:rPr>
                <w:rFonts w:ascii="仿宋" w:hAnsi="仿宋" w:eastAsia="仿宋" w:cs="Times New Roman"/>
                <w:kern w:val="0"/>
                <w:sz w:val="22"/>
              </w:rPr>
            </w:pPr>
            <w:r>
              <w:rPr>
                <w:rFonts w:ascii="仿宋" w:hAnsi="仿宋" w:eastAsia="仿宋" w:cs="Times New Roman"/>
                <w:kern w:val="0"/>
                <w:sz w:val="22"/>
              </w:rPr>
              <w:t>变动原因</w:t>
            </w:r>
          </w:p>
        </w:tc>
        <w:tc>
          <w:tcPr>
            <w:tcW w:w="1246" w:type="dxa"/>
            <w:vAlign w:val="center"/>
          </w:tcPr>
          <w:p>
            <w:pPr>
              <w:snapToGrid w:val="0"/>
              <w:jc w:val="center"/>
              <w:rPr>
                <w:rFonts w:ascii="仿宋" w:hAnsi="仿宋" w:eastAsia="仿宋" w:cs="Times New Roman"/>
                <w:kern w:val="0"/>
                <w:sz w:val="22"/>
              </w:rPr>
            </w:pPr>
            <w:r>
              <w:rPr>
                <w:rFonts w:ascii="仿宋" w:hAnsi="仿宋" w:eastAsia="仿宋" w:cs="Times New Roman"/>
                <w:kern w:val="0"/>
                <w:sz w:val="22"/>
              </w:rPr>
              <w:t>是否属重大变更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jc w:val="center"/>
              <w:rPr>
                <w:rFonts w:ascii="仿宋" w:hAnsi="仿宋" w:eastAsia="仿宋" w:cs="Times New Roman"/>
                <w:kern w:val="0"/>
                <w:sz w:val="22"/>
              </w:rPr>
            </w:pPr>
            <w:r>
              <w:rPr>
                <w:rFonts w:ascii="仿宋" w:hAnsi="仿宋" w:eastAsia="仿宋" w:cs="Times New Roman"/>
                <w:kern w:val="0"/>
                <w:sz w:val="22"/>
              </w:rPr>
              <w:t>工艺设备</w:t>
            </w:r>
          </w:p>
        </w:tc>
        <w:tc>
          <w:tcPr>
            <w:tcW w:w="2350" w:type="dxa"/>
            <w:vAlign w:val="center"/>
          </w:tcPr>
          <w:p>
            <w:pPr>
              <w:snapToGrid w:val="0"/>
              <w:rPr>
                <w:rFonts w:ascii="仿宋" w:hAnsi="仿宋" w:eastAsia="仿宋" w:cs="Times New Roman"/>
                <w:kern w:val="0"/>
                <w:sz w:val="22"/>
              </w:rPr>
            </w:pPr>
            <w:r>
              <w:rPr>
                <w:rFonts w:ascii="仿宋" w:hAnsi="仿宋" w:eastAsia="仿宋" w:cs="Times New Roman"/>
                <w:kern w:val="0"/>
                <w:sz w:val="22"/>
              </w:rPr>
              <w:t>（1）10t/h链条燃煤锅炉。</w:t>
            </w:r>
          </w:p>
          <w:p>
            <w:pPr>
              <w:snapToGrid w:val="0"/>
              <w:rPr>
                <w:rFonts w:ascii="仿宋" w:hAnsi="仿宋" w:eastAsia="仿宋" w:cs="Times New Roman"/>
                <w:kern w:val="0"/>
                <w:sz w:val="22"/>
              </w:rPr>
            </w:pPr>
            <w:r>
              <w:rPr>
                <w:rFonts w:ascii="仿宋" w:hAnsi="仿宋" w:eastAsia="仿宋" w:cs="Times New Roman"/>
                <w:kern w:val="0"/>
                <w:sz w:val="22"/>
              </w:rPr>
              <w:t>（2）</w:t>
            </w:r>
            <w:r>
              <w:rPr>
                <w:rFonts w:ascii="仿宋" w:hAnsi="仿宋" w:eastAsia="仿宋" w:cs="Times New Roman"/>
                <w:sz w:val="22"/>
              </w:rPr>
              <w:t>储罐区有80m</w:t>
            </w:r>
            <w:r>
              <w:rPr>
                <w:rFonts w:ascii="仿宋" w:hAnsi="仿宋" w:eastAsia="仿宋" w:cs="Times New Roman"/>
                <w:sz w:val="22"/>
                <w:vertAlign w:val="superscript"/>
              </w:rPr>
              <w:t>3</w:t>
            </w:r>
            <w:r>
              <w:rPr>
                <w:rFonts w:ascii="仿宋" w:hAnsi="仿宋" w:eastAsia="仿宋" w:cs="Times New Roman"/>
                <w:sz w:val="22"/>
              </w:rPr>
              <w:t>四氢呋喃储罐2个、80m</w:t>
            </w:r>
            <w:r>
              <w:rPr>
                <w:rFonts w:ascii="仿宋" w:hAnsi="仿宋" w:eastAsia="仿宋" w:cs="Times New Roman"/>
                <w:sz w:val="22"/>
                <w:vertAlign w:val="superscript"/>
              </w:rPr>
              <w:t>3</w:t>
            </w:r>
            <w:r>
              <w:rPr>
                <w:rFonts w:ascii="仿宋" w:hAnsi="仿宋" w:eastAsia="仿宋" w:cs="Times New Roman"/>
                <w:sz w:val="22"/>
              </w:rPr>
              <w:t>石油醚储罐2个、80m</w:t>
            </w:r>
            <w:r>
              <w:rPr>
                <w:rFonts w:ascii="仿宋" w:hAnsi="仿宋" w:eastAsia="仿宋" w:cs="Times New Roman"/>
                <w:sz w:val="22"/>
                <w:vertAlign w:val="superscript"/>
              </w:rPr>
              <w:t>3</w:t>
            </w:r>
            <w:r>
              <w:rPr>
                <w:rFonts w:ascii="仿宋" w:hAnsi="仿宋" w:eastAsia="仿宋" w:cs="Times New Roman"/>
                <w:sz w:val="22"/>
              </w:rPr>
              <w:t>乙醇储罐1个。</w:t>
            </w:r>
          </w:p>
        </w:tc>
        <w:tc>
          <w:tcPr>
            <w:tcW w:w="2184" w:type="dxa"/>
            <w:vAlign w:val="center"/>
          </w:tcPr>
          <w:p>
            <w:pPr>
              <w:snapToGrid w:val="0"/>
              <w:rPr>
                <w:rFonts w:hint="eastAsia" w:ascii="仿宋" w:hAnsi="仿宋" w:eastAsia="仿宋" w:cs="Times New Roman"/>
                <w:kern w:val="0"/>
                <w:sz w:val="22"/>
              </w:rPr>
            </w:pPr>
            <w:r>
              <w:rPr>
                <w:rFonts w:ascii="仿宋" w:hAnsi="仿宋" w:eastAsia="仿宋" w:cs="Times New Roman"/>
                <w:kern w:val="0"/>
                <w:sz w:val="22"/>
              </w:rPr>
              <w:t>（1）6t/h燃气锅炉</w:t>
            </w:r>
            <w:r>
              <w:rPr>
                <w:rFonts w:hint="eastAsia" w:ascii="仿宋" w:hAnsi="仿宋" w:eastAsia="仿宋" w:cs="Times New Roman"/>
                <w:kern w:val="0"/>
                <w:sz w:val="22"/>
              </w:rPr>
              <w:t>。</w:t>
            </w:r>
          </w:p>
          <w:p>
            <w:pPr>
              <w:snapToGrid w:val="0"/>
              <w:rPr>
                <w:rFonts w:ascii="仿宋" w:hAnsi="仿宋" w:eastAsia="仿宋" w:cs="Times New Roman"/>
                <w:kern w:val="0"/>
                <w:sz w:val="22"/>
              </w:rPr>
            </w:pPr>
            <w:r>
              <w:rPr>
                <w:rFonts w:hint="eastAsia" w:ascii="仿宋" w:hAnsi="仿宋" w:eastAsia="仿宋" w:cs="Times New Roman"/>
                <w:kern w:val="0"/>
                <w:sz w:val="22"/>
              </w:rPr>
              <w:t>（2）</w:t>
            </w:r>
            <w:r>
              <w:rPr>
                <w:rFonts w:ascii="仿宋" w:hAnsi="仿宋" w:eastAsia="仿宋" w:cs="Times New Roman"/>
                <w:kern w:val="0"/>
                <w:sz w:val="22"/>
              </w:rPr>
              <w:t>储罐区有10m</w:t>
            </w:r>
            <w:r>
              <w:rPr>
                <w:rFonts w:ascii="仿宋" w:hAnsi="仿宋" w:eastAsia="仿宋" w:cs="Times New Roman"/>
                <w:kern w:val="0"/>
                <w:sz w:val="22"/>
                <w:vertAlign w:val="superscript"/>
              </w:rPr>
              <w:t>3</w:t>
            </w:r>
            <w:r>
              <w:rPr>
                <w:rFonts w:ascii="仿宋" w:hAnsi="仿宋" w:eastAsia="仿宋" w:cs="Times New Roman"/>
                <w:kern w:val="0"/>
                <w:sz w:val="22"/>
              </w:rPr>
              <w:t>四氢呋喃回收储罐2个、20m</w:t>
            </w:r>
            <w:r>
              <w:rPr>
                <w:rFonts w:ascii="仿宋" w:hAnsi="仿宋" w:eastAsia="仿宋" w:cs="Times New Roman"/>
                <w:kern w:val="0"/>
                <w:sz w:val="22"/>
                <w:vertAlign w:val="superscript"/>
              </w:rPr>
              <w:t>3</w:t>
            </w:r>
            <w:r>
              <w:rPr>
                <w:rFonts w:ascii="仿宋" w:hAnsi="仿宋" w:eastAsia="仿宋" w:cs="Times New Roman"/>
                <w:kern w:val="0"/>
                <w:sz w:val="22"/>
              </w:rPr>
              <w:t>石油醚储罐2个，无乙醇储罐。</w:t>
            </w:r>
          </w:p>
        </w:tc>
        <w:tc>
          <w:tcPr>
            <w:tcW w:w="2220" w:type="dxa"/>
            <w:vAlign w:val="center"/>
          </w:tcPr>
          <w:p>
            <w:pPr>
              <w:snapToGrid w:val="0"/>
              <w:rPr>
                <w:rFonts w:ascii="仿宋" w:hAnsi="仿宋" w:eastAsia="仿宋" w:cs="Times New Roman"/>
                <w:kern w:val="0"/>
                <w:sz w:val="22"/>
              </w:rPr>
            </w:pPr>
            <w:r>
              <w:rPr>
                <w:rFonts w:ascii="仿宋" w:hAnsi="仿宋" w:eastAsia="仿宋" w:cs="Times New Roman"/>
                <w:sz w:val="22"/>
              </w:rPr>
              <w:t>（</w:t>
            </w:r>
            <w:r>
              <w:rPr>
                <w:rFonts w:ascii="仿宋" w:hAnsi="仿宋" w:eastAsia="仿宋" w:cs="Times New Roman"/>
                <w:kern w:val="0"/>
                <w:sz w:val="22"/>
              </w:rPr>
              <w:t>1）响应国家环保要求，使用更为洁净环保的燃气锅炉。</w:t>
            </w:r>
          </w:p>
          <w:p>
            <w:pPr>
              <w:snapToGrid w:val="0"/>
              <w:rPr>
                <w:rFonts w:ascii="仿宋" w:hAnsi="仿宋" w:eastAsia="仿宋" w:cs="Times New Roman"/>
                <w:sz w:val="22"/>
              </w:rPr>
            </w:pPr>
            <w:r>
              <w:rPr>
                <w:rFonts w:ascii="仿宋" w:hAnsi="仿宋" w:eastAsia="仿宋" w:cs="Times New Roman"/>
                <w:kern w:val="0"/>
                <w:sz w:val="22"/>
              </w:rPr>
              <w:t>（2）有机溶剂回收工序不再使用乙醇蒸馏，原料四氢呋喃均为桶装原料，不再需要原料储罐，建设了2个10m</w:t>
            </w:r>
            <w:r>
              <w:rPr>
                <w:rFonts w:ascii="仿宋" w:hAnsi="仿宋" w:eastAsia="仿宋" w:cs="Times New Roman"/>
                <w:kern w:val="0"/>
                <w:sz w:val="22"/>
                <w:vertAlign w:val="superscript"/>
              </w:rPr>
              <w:t>3</w:t>
            </w:r>
            <w:r>
              <w:rPr>
                <w:rFonts w:ascii="仿宋" w:hAnsi="仿宋" w:eastAsia="仿宋" w:cs="Times New Roman"/>
                <w:kern w:val="0"/>
                <w:sz w:val="22"/>
              </w:rPr>
              <w:t>四氢呋喃回收储罐。</w:t>
            </w:r>
          </w:p>
        </w:tc>
        <w:tc>
          <w:tcPr>
            <w:tcW w:w="1246" w:type="dxa"/>
            <w:vAlign w:val="center"/>
          </w:tcPr>
          <w:p>
            <w:pPr>
              <w:snapToGrid w:val="0"/>
              <w:jc w:val="center"/>
              <w:rPr>
                <w:rFonts w:ascii="仿宋" w:hAnsi="仿宋" w:eastAsia="仿宋" w:cs="Times New Roman"/>
                <w:kern w:val="0"/>
                <w:sz w:val="22"/>
              </w:rPr>
            </w:pPr>
            <w:r>
              <w:rPr>
                <w:rFonts w:ascii="仿宋" w:hAnsi="仿宋" w:eastAsia="仿宋" w:cs="Times New Roman"/>
                <w:kern w:val="0"/>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878" w:type="dxa"/>
            <w:vAlign w:val="center"/>
          </w:tcPr>
          <w:p>
            <w:pPr>
              <w:snapToGrid w:val="0"/>
              <w:jc w:val="center"/>
              <w:rPr>
                <w:rFonts w:ascii="仿宋" w:hAnsi="仿宋" w:eastAsia="仿宋" w:cs="Times New Roman"/>
                <w:kern w:val="0"/>
                <w:sz w:val="22"/>
              </w:rPr>
            </w:pPr>
            <w:r>
              <w:rPr>
                <w:rFonts w:ascii="仿宋" w:hAnsi="仿宋" w:eastAsia="仿宋" w:cs="Times New Roman"/>
                <w:kern w:val="0"/>
                <w:sz w:val="22"/>
              </w:rPr>
              <w:t>生产工艺</w:t>
            </w:r>
          </w:p>
        </w:tc>
        <w:tc>
          <w:tcPr>
            <w:tcW w:w="2350" w:type="dxa"/>
            <w:vAlign w:val="center"/>
          </w:tcPr>
          <w:p>
            <w:pPr>
              <w:snapToGrid w:val="0"/>
              <w:rPr>
                <w:rFonts w:ascii="仿宋" w:hAnsi="仿宋" w:eastAsia="仿宋" w:cs="Times New Roman"/>
                <w:kern w:val="0"/>
                <w:sz w:val="22"/>
              </w:rPr>
            </w:pPr>
            <w:r>
              <w:rPr>
                <w:rFonts w:ascii="仿宋" w:hAnsi="仿宋" w:eastAsia="仿宋" w:cs="Times New Roman"/>
                <w:kern w:val="0"/>
                <w:sz w:val="22"/>
              </w:rPr>
              <w:t>沙坦联苯生产过程中有机溶剂回收包括四氢呋喃蒸馏回收、石油醚蒸馏回收，乙醇蒸馏回收。</w:t>
            </w:r>
          </w:p>
        </w:tc>
        <w:tc>
          <w:tcPr>
            <w:tcW w:w="2184" w:type="dxa"/>
            <w:vAlign w:val="center"/>
          </w:tcPr>
          <w:p>
            <w:pPr>
              <w:snapToGrid w:val="0"/>
              <w:rPr>
                <w:rFonts w:ascii="仿宋" w:hAnsi="仿宋" w:eastAsia="仿宋" w:cs="Times New Roman"/>
                <w:kern w:val="0"/>
                <w:sz w:val="22"/>
              </w:rPr>
            </w:pPr>
            <w:r>
              <w:rPr>
                <w:rFonts w:ascii="仿宋" w:hAnsi="仿宋" w:eastAsia="仿宋" w:cs="Times New Roman"/>
                <w:kern w:val="0"/>
                <w:sz w:val="22"/>
              </w:rPr>
              <w:t>沙坦联苯生产过程中有机溶剂回收不再使用乙醇蒸馏回收。</w:t>
            </w:r>
          </w:p>
        </w:tc>
        <w:tc>
          <w:tcPr>
            <w:tcW w:w="2220" w:type="dxa"/>
            <w:vAlign w:val="center"/>
          </w:tcPr>
          <w:p>
            <w:pPr>
              <w:snapToGrid w:val="0"/>
              <w:rPr>
                <w:rFonts w:ascii="仿宋" w:hAnsi="仿宋" w:eastAsia="仿宋" w:cs="Times New Roman"/>
                <w:kern w:val="0"/>
                <w:sz w:val="22"/>
              </w:rPr>
            </w:pPr>
            <w:r>
              <w:rPr>
                <w:rFonts w:ascii="仿宋" w:hAnsi="仿宋" w:eastAsia="仿宋" w:cs="Times New Roman"/>
                <w:kern w:val="0"/>
                <w:sz w:val="22"/>
              </w:rPr>
              <w:t>乙醇蒸馏回收率低，成本高。</w:t>
            </w:r>
          </w:p>
        </w:tc>
        <w:tc>
          <w:tcPr>
            <w:tcW w:w="1246" w:type="dxa"/>
            <w:vAlign w:val="center"/>
          </w:tcPr>
          <w:p>
            <w:pPr>
              <w:snapToGrid w:val="0"/>
              <w:jc w:val="center"/>
              <w:rPr>
                <w:rFonts w:ascii="仿宋" w:hAnsi="仿宋" w:eastAsia="仿宋" w:cs="Times New Roman"/>
                <w:kern w:val="0"/>
                <w:sz w:val="22"/>
              </w:rPr>
            </w:pPr>
            <w:r>
              <w:rPr>
                <w:rFonts w:ascii="仿宋" w:hAnsi="仿宋" w:eastAsia="仿宋" w:cs="Times New Roman"/>
                <w:kern w:val="0"/>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restart"/>
            <w:vAlign w:val="center"/>
          </w:tcPr>
          <w:p>
            <w:pPr>
              <w:snapToGrid w:val="0"/>
              <w:jc w:val="center"/>
              <w:rPr>
                <w:rFonts w:ascii="仿宋" w:hAnsi="仿宋" w:eastAsia="仿宋" w:cs="Times New Roman"/>
                <w:kern w:val="0"/>
                <w:sz w:val="22"/>
              </w:rPr>
            </w:pPr>
            <w:r>
              <w:rPr>
                <w:rFonts w:ascii="仿宋" w:hAnsi="仿宋" w:eastAsia="仿宋" w:cs="Times New Roman"/>
                <w:kern w:val="0"/>
                <w:sz w:val="22"/>
              </w:rPr>
              <w:t>环保工程</w:t>
            </w:r>
          </w:p>
        </w:tc>
        <w:tc>
          <w:tcPr>
            <w:tcW w:w="2350" w:type="dxa"/>
            <w:vAlign w:val="center"/>
          </w:tcPr>
          <w:p>
            <w:pPr>
              <w:snapToGrid w:val="0"/>
              <w:rPr>
                <w:rFonts w:ascii="仿宋" w:hAnsi="仿宋" w:eastAsia="仿宋" w:cs="Times New Roman"/>
                <w:kern w:val="0"/>
                <w:sz w:val="22"/>
              </w:rPr>
            </w:pPr>
            <w:r>
              <w:rPr>
                <w:rFonts w:ascii="仿宋" w:hAnsi="仿宋" w:eastAsia="仿宋" w:cs="Times New Roman"/>
                <w:kern w:val="0"/>
                <w:sz w:val="22"/>
              </w:rPr>
              <w:t>废气：环评设计在沙坦联苯干燥工序会产生一定量颗粒物废气，设计经多级冷凝回收后，采用风量2000m</w:t>
            </w:r>
            <w:r>
              <w:rPr>
                <w:rFonts w:ascii="仿宋" w:hAnsi="仿宋" w:eastAsia="仿宋" w:cs="Times New Roman"/>
                <w:kern w:val="0"/>
                <w:sz w:val="22"/>
                <w:vertAlign w:val="superscript"/>
              </w:rPr>
              <w:t>3</w:t>
            </w:r>
            <w:r>
              <w:rPr>
                <w:rFonts w:ascii="仿宋" w:hAnsi="仿宋" w:eastAsia="仿宋" w:cs="Times New Roman"/>
                <w:kern w:val="0"/>
                <w:sz w:val="22"/>
              </w:rPr>
              <w:t>/h，收尘效率99%的袋式除尘器进行收尘后15m高排气筒排放。</w:t>
            </w:r>
          </w:p>
        </w:tc>
        <w:tc>
          <w:tcPr>
            <w:tcW w:w="2184" w:type="dxa"/>
            <w:vAlign w:val="center"/>
          </w:tcPr>
          <w:p>
            <w:pPr>
              <w:snapToGrid w:val="0"/>
              <w:rPr>
                <w:rFonts w:ascii="仿宋" w:hAnsi="仿宋" w:eastAsia="仿宋" w:cs="Times New Roman"/>
                <w:kern w:val="0"/>
                <w:sz w:val="22"/>
              </w:rPr>
            </w:pPr>
            <w:r>
              <w:rPr>
                <w:rFonts w:ascii="仿宋" w:hAnsi="仿宋" w:eastAsia="仿宋" w:cs="Times New Roman"/>
                <w:kern w:val="0"/>
                <w:sz w:val="22"/>
              </w:rPr>
              <w:t>项目实际沙坦联苯干燥采用双锥式干燥器，干燥过程中无颗粒物产生，故未配套安装袋式除尘器。</w:t>
            </w:r>
          </w:p>
        </w:tc>
        <w:tc>
          <w:tcPr>
            <w:tcW w:w="2220" w:type="dxa"/>
            <w:vAlign w:val="center"/>
          </w:tcPr>
          <w:p>
            <w:pPr>
              <w:snapToGrid w:val="0"/>
              <w:rPr>
                <w:rFonts w:ascii="仿宋" w:hAnsi="仿宋" w:eastAsia="仿宋" w:cs="Times New Roman"/>
                <w:kern w:val="0"/>
                <w:sz w:val="22"/>
              </w:rPr>
            </w:pPr>
            <w:r>
              <w:rPr>
                <w:rFonts w:ascii="仿宋" w:hAnsi="仿宋" w:eastAsia="仿宋" w:cs="Times New Roman"/>
                <w:kern w:val="0"/>
                <w:sz w:val="22"/>
              </w:rPr>
              <w:t>干燥过程在完全密闭的双锥式干燥器中进行，无颗粒物废气产生。</w:t>
            </w:r>
          </w:p>
        </w:tc>
        <w:tc>
          <w:tcPr>
            <w:tcW w:w="1246" w:type="dxa"/>
            <w:vAlign w:val="center"/>
          </w:tcPr>
          <w:p>
            <w:pPr>
              <w:snapToGrid w:val="0"/>
              <w:jc w:val="center"/>
              <w:rPr>
                <w:rFonts w:ascii="仿宋" w:hAnsi="仿宋" w:eastAsia="仿宋" w:cs="Times New Roman"/>
                <w:kern w:val="0"/>
                <w:sz w:val="22"/>
              </w:rPr>
            </w:pPr>
            <w:r>
              <w:rPr>
                <w:rFonts w:ascii="仿宋" w:hAnsi="仿宋" w:eastAsia="仿宋" w:cs="Times New Roman"/>
                <w:kern w:val="0"/>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vAlign w:val="center"/>
          </w:tcPr>
          <w:p>
            <w:pPr>
              <w:snapToGrid w:val="0"/>
              <w:jc w:val="center"/>
              <w:rPr>
                <w:rFonts w:ascii="仿宋" w:hAnsi="仿宋" w:eastAsia="仿宋" w:cs="Times New Roman"/>
                <w:kern w:val="0"/>
                <w:sz w:val="22"/>
              </w:rPr>
            </w:pPr>
          </w:p>
        </w:tc>
        <w:tc>
          <w:tcPr>
            <w:tcW w:w="2350" w:type="dxa"/>
            <w:vAlign w:val="center"/>
          </w:tcPr>
          <w:p>
            <w:pPr>
              <w:snapToGrid w:val="0"/>
              <w:jc w:val="left"/>
              <w:rPr>
                <w:rFonts w:ascii="仿宋" w:hAnsi="仿宋" w:eastAsia="仿宋" w:cs="Times New Roman"/>
                <w:kern w:val="0"/>
                <w:sz w:val="22"/>
              </w:rPr>
            </w:pPr>
            <w:r>
              <w:rPr>
                <w:rFonts w:ascii="仿宋" w:hAnsi="仿宋" w:eastAsia="仿宋" w:cs="Times New Roman"/>
                <w:kern w:val="0"/>
                <w:sz w:val="22"/>
              </w:rPr>
              <w:t>固废：蒸馏产生的高沸物及环保设施产生的废活性炭属危险废物，送至有资质单位进行处理。</w:t>
            </w:r>
          </w:p>
        </w:tc>
        <w:tc>
          <w:tcPr>
            <w:tcW w:w="2184" w:type="dxa"/>
            <w:vAlign w:val="center"/>
          </w:tcPr>
          <w:p>
            <w:pPr>
              <w:rPr>
                <w:rFonts w:ascii="仿宋" w:hAnsi="仿宋" w:eastAsia="仿宋" w:cs="Times New Roman"/>
                <w:sz w:val="22"/>
              </w:rPr>
            </w:pPr>
            <w:r>
              <w:rPr>
                <w:rFonts w:ascii="仿宋" w:hAnsi="仿宋" w:eastAsia="仿宋" w:cs="Times New Roman"/>
                <w:sz w:val="22"/>
              </w:rPr>
              <w:t>蒸馏高沸物在25m</w:t>
            </w:r>
            <w:r>
              <w:rPr>
                <w:rFonts w:ascii="仿宋" w:hAnsi="仿宋" w:eastAsia="仿宋" w:cs="Times New Roman"/>
                <w:sz w:val="22"/>
                <w:vertAlign w:val="superscript"/>
              </w:rPr>
              <w:t>2</w:t>
            </w:r>
            <w:r>
              <w:rPr>
                <w:rFonts w:ascii="仿宋" w:hAnsi="仿宋" w:eastAsia="仿宋" w:cs="Times New Roman"/>
                <w:sz w:val="22"/>
              </w:rPr>
              <w:t>危废暂存间暂存，送至企业另一个项目建设的焚烧炉内焚烧处理。</w:t>
            </w:r>
          </w:p>
        </w:tc>
        <w:tc>
          <w:tcPr>
            <w:tcW w:w="2220" w:type="dxa"/>
            <w:vMerge w:val="restart"/>
            <w:vAlign w:val="center"/>
          </w:tcPr>
          <w:p>
            <w:pPr>
              <w:snapToGrid w:val="0"/>
              <w:rPr>
                <w:rFonts w:ascii="仿宋" w:hAnsi="仿宋" w:eastAsia="仿宋" w:cs="Times New Roman"/>
                <w:kern w:val="0"/>
                <w:sz w:val="22"/>
              </w:rPr>
            </w:pPr>
            <w:r>
              <w:rPr>
                <w:rFonts w:ascii="仿宋" w:hAnsi="仿宋" w:eastAsia="仿宋" w:cs="Times New Roman"/>
                <w:kern w:val="0"/>
                <w:sz w:val="22"/>
              </w:rPr>
              <w:t>降低企业运行成本，项目产生固废均得到了无害化处置。</w:t>
            </w:r>
          </w:p>
        </w:tc>
        <w:tc>
          <w:tcPr>
            <w:tcW w:w="1246" w:type="dxa"/>
            <w:vMerge w:val="restart"/>
            <w:vAlign w:val="center"/>
          </w:tcPr>
          <w:p>
            <w:pPr>
              <w:snapToGrid w:val="0"/>
              <w:jc w:val="center"/>
              <w:rPr>
                <w:rFonts w:ascii="仿宋" w:hAnsi="仿宋" w:eastAsia="仿宋" w:cs="Times New Roman"/>
                <w:kern w:val="0"/>
                <w:sz w:val="22"/>
              </w:rPr>
            </w:pPr>
            <w:r>
              <w:rPr>
                <w:rFonts w:ascii="仿宋" w:hAnsi="仿宋" w:eastAsia="仿宋" w:cs="Times New Roman"/>
                <w:kern w:val="0"/>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vAlign w:val="center"/>
          </w:tcPr>
          <w:p>
            <w:pPr>
              <w:snapToGrid w:val="0"/>
              <w:jc w:val="center"/>
              <w:rPr>
                <w:rFonts w:ascii="仿宋" w:hAnsi="仿宋" w:eastAsia="仿宋" w:cs="Times New Roman"/>
                <w:kern w:val="0"/>
                <w:sz w:val="22"/>
              </w:rPr>
            </w:pPr>
          </w:p>
        </w:tc>
        <w:tc>
          <w:tcPr>
            <w:tcW w:w="2350" w:type="dxa"/>
            <w:vAlign w:val="center"/>
          </w:tcPr>
          <w:p>
            <w:pPr>
              <w:snapToGrid w:val="0"/>
              <w:rPr>
                <w:rFonts w:ascii="仿宋" w:hAnsi="仿宋" w:eastAsia="仿宋" w:cs="Times New Roman"/>
                <w:kern w:val="0"/>
                <w:sz w:val="22"/>
              </w:rPr>
            </w:pPr>
            <w:r>
              <w:rPr>
                <w:rFonts w:ascii="仿宋" w:hAnsi="仿宋" w:eastAsia="仿宋" w:cs="Times New Roman"/>
                <w:kern w:val="0"/>
                <w:sz w:val="22"/>
              </w:rPr>
              <w:t>蒸馏前馏分外售专业厂家回收利用。</w:t>
            </w:r>
          </w:p>
        </w:tc>
        <w:tc>
          <w:tcPr>
            <w:tcW w:w="2184" w:type="dxa"/>
            <w:vMerge w:val="restart"/>
            <w:vAlign w:val="center"/>
          </w:tcPr>
          <w:p>
            <w:pPr>
              <w:rPr>
                <w:rFonts w:ascii="仿宋" w:hAnsi="仿宋" w:eastAsia="仿宋" w:cs="Times New Roman"/>
                <w:sz w:val="22"/>
              </w:rPr>
            </w:pPr>
            <w:r>
              <w:rPr>
                <w:rFonts w:ascii="仿宋" w:hAnsi="仿宋" w:eastAsia="仿宋" w:cs="Times New Roman"/>
                <w:sz w:val="22"/>
              </w:rPr>
              <w:t>统一送至企业另一个项目建设的焚烧炉内焚烧处理。</w:t>
            </w:r>
          </w:p>
        </w:tc>
        <w:tc>
          <w:tcPr>
            <w:tcW w:w="2220" w:type="dxa"/>
            <w:vMerge w:val="continue"/>
            <w:vAlign w:val="center"/>
          </w:tcPr>
          <w:p>
            <w:pPr>
              <w:snapToGrid w:val="0"/>
              <w:rPr>
                <w:rFonts w:ascii="仿宋" w:hAnsi="仿宋" w:eastAsia="仿宋" w:cs="Times New Roman"/>
                <w:kern w:val="0"/>
                <w:sz w:val="22"/>
              </w:rPr>
            </w:pPr>
          </w:p>
        </w:tc>
        <w:tc>
          <w:tcPr>
            <w:tcW w:w="1246" w:type="dxa"/>
            <w:vMerge w:val="continue"/>
            <w:vAlign w:val="center"/>
          </w:tcPr>
          <w:p>
            <w:pPr>
              <w:snapToGrid w:val="0"/>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vAlign w:val="center"/>
          </w:tcPr>
          <w:p>
            <w:pPr>
              <w:snapToGrid w:val="0"/>
              <w:jc w:val="center"/>
              <w:rPr>
                <w:rFonts w:ascii="仿宋" w:hAnsi="仿宋" w:eastAsia="仿宋" w:cs="Times New Roman"/>
                <w:kern w:val="0"/>
                <w:sz w:val="22"/>
              </w:rPr>
            </w:pPr>
          </w:p>
        </w:tc>
        <w:tc>
          <w:tcPr>
            <w:tcW w:w="2350" w:type="dxa"/>
            <w:vAlign w:val="center"/>
          </w:tcPr>
          <w:p>
            <w:pPr>
              <w:snapToGrid w:val="0"/>
              <w:rPr>
                <w:rFonts w:ascii="仿宋" w:hAnsi="仿宋" w:eastAsia="仿宋" w:cs="Times New Roman"/>
                <w:kern w:val="0"/>
                <w:sz w:val="22"/>
              </w:rPr>
            </w:pPr>
            <w:r>
              <w:rPr>
                <w:rFonts w:ascii="仿宋" w:hAnsi="仿宋" w:eastAsia="仿宋" w:cs="Times New Roman"/>
                <w:kern w:val="0"/>
                <w:sz w:val="22"/>
              </w:rPr>
              <w:t>污水处理站污泥送至新乡垃圾填埋场安全填埋。</w:t>
            </w:r>
          </w:p>
        </w:tc>
        <w:tc>
          <w:tcPr>
            <w:tcW w:w="2184" w:type="dxa"/>
            <w:vMerge w:val="continue"/>
            <w:vAlign w:val="center"/>
          </w:tcPr>
          <w:p>
            <w:pPr>
              <w:rPr>
                <w:rFonts w:ascii="仿宋" w:hAnsi="仿宋" w:eastAsia="仿宋" w:cs="Times New Roman"/>
                <w:sz w:val="22"/>
              </w:rPr>
            </w:pPr>
          </w:p>
        </w:tc>
        <w:tc>
          <w:tcPr>
            <w:tcW w:w="2220" w:type="dxa"/>
            <w:vMerge w:val="continue"/>
            <w:vAlign w:val="center"/>
          </w:tcPr>
          <w:p>
            <w:pPr>
              <w:snapToGrid w:val="0"/>
              <w:rPr>
                <w:rFonts w:ascii="仿宋" w:hAnsi="仿宋" w:eastAsia="仿宋" w:cs="Times New Roman"/>
                <w:kern w:val="0"/>
                <w:sz w:val="22"/>
              </w:rPr>
            </w:pPr>
          </w:p>
        </w:tc>
        <w:tc>
          <w:tcPr>
            <w:tcW w:w="1246" w:type="dxa"/>
            <w:vMerge w:val="continue"/>
            <w:vAlign w:val="center"/>
          </w:tcPr>
          <w:p>
            <w:pPr>
              <w:snapToGrid w:val="0"/>
              <w:jc w:val="center"/>
              <w:rPr>
                <w:rFonts w:ascii="仿宋" w:hAnsi="仿宋" w:eastAsia="仿宋" w:cs="Times New Roman"/>
                <w:kern w:val="0"/>
                <w:sz w:val="22"/>
              </w:rPr>
            </w:pPr>
          </w:p>
        </w:tc>
      </w:tr>
    </w:tbl>
    <w:p>
      <w:pPr>
        <w:pStyle w:val="17"/>
        <w:snapToGrid w:val="0"/>
        <w:spacing w:before="0" w:beforeAutospacing="0" w:after="0" w:afterAutospacing="0" w:line="480" w:lineRule="exact"/>
        <w:ind w:firstLine="520" w:firstLineChars="200"/>
        <w:jc w:val="both"/>
        <w:outlineLvl w:val="0"/>
        <w:rPr>
          <w:rFonts w:ascii="仿宋_GB2312" w:eastAsia="仿宋_GB2312"/>
          <w:color w:val="000000"/>
          <w:sz w:val="26"/>
          <w:szCs w:val="26"/>
        </w:rPr>
      </w:pPr>
      <w:r>
        <w:rPr>
          <w:rFonts w:hint="eastAsia" w:ascii="仿宋_GB2312" w:eastAsia="仿宋_GB2312"/>
          <w:sz w:val="26"/>
          <w:szCs w:val="26"/>
        </w:rPr>
        <w:t>综上，本项目总沙坦联苯生产能力未发生变化，主体工艺流程未发生变化。环保处理设施方面，项目营运过程中产生的废气、废水、固废均得到了合理处置，从环境保护的角度分析，本项目实际建设过程中的变动均不属于重大变更。</w:t>
      </w:r>
    </w:p>
    <w:p>
      <w:pPr>
        <w:pStyle w:val="17"/>
        <w:snapToGrid w:val="0"/>
        <w:spacing w:before="156" w:beforeLines="50" w:beforeAutospacing="0" w:after="0" w:afterAutospacing="0" w:line="360" w:lineRule="auto"/>
        <w:jc w:val="both"/>
        <w:outlineLvl w:val="0"/>
        <w:rPr>
          <w:rFonts w:ascii="仿宋_GB2312" w:eastAsia="仿宋_GB2312"/>
          <w:b/>
          <w:color w:val="000000"/>
          <w:sz w:val="28"/>
          <w:szCs w:val="28"/>
        </w:rPr>
      </w:pPr>
      <w:r>
        <w:rPr>
          <w:rFonts w:hint="eastAsia" w:ascii="仿宋_GB2312" w:eastAsia="仿宋_GB2312"/>
          <w:b/>
          <w:color w:val="000000"/>
          <w:sz w:val="28"/>
          <w:szCs w:val="28"/>
        </w:rPr>
        <w:t>三、环境保护设施建设情况</w:t>
      </w:r>
    </w:p>
    <w:p>
      <w:pPr>
        <w:pStyle w:val="17"/>
        <w:snapToGrid w:val="0"/>
        <w:spacing w:before="0" w:beforeAutospacing="0" w:after="0" w:afterAutospacing="0" w:line="360" w:lineRule="auto"/>
        <w:ind w:firstLine="520" w:firstLineChars="200"/>
        <w:jc w:val="both"/>
        <w:rPr>
          <w:rFonts w:ascii="仿宋_GB2312" w:eastAsia="仿宋_GB2312"/>
          <w:color w:val="000000"/>
          <w:sz w:val="26"/>
          <w:szCs w:val="26"/>
        </w:rPr>
      </w:pPr>
      <w:r>
        <w:rPr>
          <w:rFonts w:hint="eastAsia" w:ascii="仿宋_GB2312" w:eastAsia="仿宋_GB2312"/>
          <w:color w:val="000000"/>
          <w:sz w:val="26"/>
          <w:szCs w:val="26"/>
        </w:rPr>
        <w:t>（一）废水</w:t>
      </w:r>
    </w:p>
    <w:p>
      <w:pPr>
        <w:pStyle w:val="22"/>
        <w:shd w:val="clear" w:color="auto" w:fill="auto"/>
        <w:snapToGrid w:val="0"/>
        <w:spacing w:before="0" w:line="360" w:lineRule="auto"/>
        <w:ind w:firstLine="520" w:firstLineChars="200"/>
        <w:rPr>
          <w:rFonts w:ascii="仿宋_GB2312" w:hAnsi="宋体" w:eastAsia="仿宋_GB2312" w:cs="宋体"/>
          <w:color w:val="000000"/>
          <w:spacing w:val="0"/>
          <w:kern w:val="0"/>
          <w:sz w:val="26"/>
          <w:szCs w:val="26"/>
        </w:rPr>
      </w:pPr>
      <w:r>
        <w:rPr>
          <w:rFonts w:hint="eastAsia" w:ascii="仿宋_GB2312" w:hAnsi="宋体" w:eastAsia="仿宋_GB2312" w:cs="宋体"/>
          <w:color w:val="000000"/>
          <w:spacing w:val="0"/>
          <w:kern w:val="0"/>
          <w:sz w:val="26"/>
          <w:szCs w:val="26"/>
        </w:rPr>
        <w:t>该项目废水包含生产废水和生活废水两部分。生产废水主要为循环冷却水塔定时排水、软水制备设施排水、项目车间设备及地面的冲洗废水。项目产生所有废水均经自建管道排入厂区污水处理站处理后废水达标排放</w:t>
      </w:r>
      <w:r>
        <w:rPr>
          <w:rFonts w:hint="eastAsia" w:ascii="仿宋_GB2312" w:eastAsia="仿宋_GB2312"/>
          <w:kern w:val="0"/>
          <w:sz w:val="26"/>
          <w:szCs w:val="26"/>
        </w:rPr>
        <w:t>。</w:t>
      </w:r>
    </w:p>
    <w:p>
      <w:pPr>
        <w:pStyle w:val="17"/>
        <w:snapToGrid w:val="0"/>
        <w:spacing w:before="0" w:beforeAutospacing="0" w:after="0" w:afterAutospacing="0" w:line="360" w:lineRule="auto"/>
        <w:ind w:firstLine="520" w:firstLineChars="200"/>
        <w:jc w:val="both"/>
        <w:rPr>
          <w:rFonts w:ascii="仿宋_GB2312" w:eastAsia="仿宋_GB2312"/>
          <w:color w:val="000000"/>
          <w:sz w:val="26"/>
          <w:szCs w:val="26"/>
        </w:rPr>
      </w:pPr>
      <w:r>
        <w:rPr>
          <w:rFonts w:hint="eastAsia" w:ascii="仿宋_GB2312" w:eastAsia="仿宋_GB2312"/>
          <w:color w:val="000000"/>
          <w:sz w:val="26"/>
          <w:szCs w:val="26"/>
        </w:rPr>
        <w:t>（二）废气</w:t>
      </w:r>
    </w:p>
    <w:p>
      <w:pPr>
        <w:pStyle w:val="17"/>
        <w:snapToGrid w:val="0"/>
        <w:spacing w:before="0" w:beforeAutospacing="0" w:after="0" w:afterAutospacing="0" w:line="360" w:lineRule="auto"/>
        <w:ind w:firstLine="520" w:firstLineChars="200"/>
        <w:jc w:val="both"/>
        <w:rPr>
          <w:rFonts w:ascii="仿宋_GB2312" w:eastAsia="仿宋_GB2312"/>
          <w:color w:val="000000"/>
          <w:sz w:val="26"/>
          <w:szCs w:val="26"/>
        </w:rPr>
      </w:pPr>
      <w:r>
        <w:rPr>
          <w:rFonts w:hint="eastAsia" w:ascii="仿宋_GB2312" w:eastAsia="仿宋_GB2312"/>
          <w:color w:val="000000"/>
          <w:sz w:val="26"/>
          <w:szCs w:val="26"/>
        </w:rPr>
        <w:t>本项目营运过程中废气包含燃气锅炉运行产生的锅炉废气，沙坦联苯车间四氢呋喃蒸馏回收、石油醚回收过程中产生的不凝气，沙坦联苯车间生产过程中无油真空泵对水解油层抽真空后除去油层中小分子低沸点有机气体，经无油真空泵排气孔外排的尾气。</w:t>
      </w:r>
    </w:p>
    <w:p>
      <w:pPr>
        <w:pStyle w:val="17"/>
        <w:snapToGrid w:val="0"/>
        <w:spacing w:before="0" w:beforeAutospacing="0" w:after="0" w:afterAutospacing="0" w:line="360" w:lineRule="auto"/>
        <w:ind w:firstLine="520" w:firstLineChars="200"/>
        <w:jc w:val="both"/>
        <w:rPr>
          <w:rFonts w:ascii="仿宋_GB2312" w:eastAsia="仿宋_GB2312"/>
          <w:color w:val="000000"/>
          <w:sz w:val="26"/>
          <w:szCs w:val="26"/>
        </w:rPr>
      </w:pPr>
      <w:r>
        <w:rPr>
          <w:rFonts w:hint="eastAsia" w:ascii="仿宋_GB2312" w:eastAsia="仿宋_GB2312"/>
          <w:color w:val="000000"/>
          <w:sz w:val="26"/>
          <w:szCs w:val="26"/>
        </w:rPr>
        <w:t>其中锅炉废气经15m排气筒直接排放；三个生产车间的有机溶剂蒸馏回收石油醚回收过程中产生的不凝气，沙坦联苯车间生产过程中无油真空泵对水解油层抽真空后除去油层中小分子低沸点有机气体，经无油真空泵排气孔外排的尾气分别经</w:t>
      </w:r>
      <w:r>
        <w:rPr>
          <w:rFonts w:ascii="仿宋_GB2312" w:eastAsia="仿宋_GB2312"/>
          <w:color w:val="000000"/>
          <w:sz w:val="26"/>
          <w:szCs w:val="26"/>
        </w:rPr>
        <w:t>集气管道+碱液喷淋塔+活性炭吸附塔处理后在汇集到一套总的+碱液喷淋塔+活性炭吸附塔处理后排放</w:t>
      </w:r>
      <w:r>
        <w:rPr>
          <w:rFonts w:hint="eastAsia" w:ascii="仿宋_GB2312" w:eastAsia="仿宋_GB2312"/>
          <w:color w:val="000000"/>
          <w:sz w:val="26"/>
          <w:szCs w:val="26"/>
        </w:rPr>
        <w:t>。</w:t>
      </w:r>
    </w:p>
    <w:p>
      <w:pPr>
        <w:pStyle w:val="17"/>
        <w:snapToGrid w:val="0"/>
        <w:spacing w:before="0" w:beforeAutospacing="0" w:after="0" w:afterAutospacing="0" w:line="360" w:lineRule="auto"/>
        <w:ind w:firstLine="520" w:firstLineChars="200"/>
        <w:jc w:val="both"/>
        <w:rPr>
          <w:rFonts w:ascii="仿宋_GB2312" w:eastAsia="仿宋_GB2312"/>
          <w:color w:val="000000"/>
          <w:sz w:val="26"/>
          <w:szCs w:val="26"/>
        </w:rPr>
      </w:pPr>
      <w:r>
        <w:rPr>
          <w:rFonts w:hint="eastAsia" w:ascii="仿宋_GB2312" w:eastAsia="仿宋_GB2312"/>
          <w:color w:val="000000"/>
          <w:sz w:val="26"/>
          <w:szCs w:val="26"/>
        </w:rPr>
        <w:t>综上所述，企业废气治理措施均满足环评及批复的要求。</w:t>
      </w:r>
    </w:p>
    <w:p>
      <w:pPr>
        <w:snapToGrid w:val="0"/>
        <w:spacing w:line="360" w:lineRule="auto"/>
        <w:ind w:firstLine="540" w:firstLineChars="200"/>
        <w:jc w:val="left"/>
        <w:rPr>
          <w:rFonts w:ascii="仿宋_GB2312" w:eastAsia="仿宋_GB2312"/>
          <w:color w:val="000000"/>
          <w:sz w:val="26"/>
          <w:szCs w:val="26"/>
        </w:rPr>
      </w:pPr>
      <w:r>
        <w:rPr>
          <w:rFonts w:hint="eastAsia" w:ascii="仿宋_GB2312" w:eastAsia="仿宋_GB2312"/>
          <w:color w:val="000000"/>
          <w:sz w:val="27"/>
          <w:szCs w:val="27"/>
        </w:rPr>
        <w:t>（</w:t>
      </w:r>
      <w:r>
        <w:rPr>
          <w:rFonts w:hint="eastAsia" w:ascii="仿宋_GB2312" w:eastAsia="仿宋_GB2312"/>
          <w:color w:val="000000"/>
          <w:sz w:val="26"/>
          <w:szCs w:val="26"/>
        </w:rPr>
        <w:t>三）噪声</w:t>
      </w:r>
    </w:p>
    <w:p>
      <w:pPr>
        <w:snapToGrid w:val="0"/>
        <w:spacing w:line="360" w:lineRule="auto"/>
        <w:ind w:firstLine="520" w:firstLineChars="200"/>
        <w:rPr>
          <w:rFonts w:ascii="仿宋_GB2312" w:eastAsia="仿宋_GB2312"/>
          <w:color w:val="000000"/>
          <w:sz w:val="26"/>
          <w:szCs w:val="26"/>
        </w:rPr>
      </w:pPr>
      <w:r>
        <w:rPr>
          <w:rFonts w:hint="eastAsia" w:ascii="仿宋_GB2312" w:eastAsia="仿宋_GB2312"/>
          <w:color w:val="000000"/>
          <w:sz w:val="26"/>
          <w:szCs w:val="26"/>
        </w:rPr>
        <w:t>本项目噪声污染源主要为空压机、各类泵、鼓风机、引风机及冷却塔等设备运行过程中产生的噪声。根据现场勘察，项目高噪声设备均安装有减振基础，风机安装有消声器，企业设有专门人员对设备定期进行检查保养，保持设备处于良好的运行状态，可保证设备降噪效果较好，不会对环境产生影响。</w:t>
      </w:r>
    </w:p>
    <w:p>
      <w:pPr>
        <w:snapToGrid w:val="0"/>
        <w:spacing w:line="360" w:lineRule="auto"/>
        <w:ind w:firstLine="520" w:firstLineChars="200"/>
        <w:outlineLvl w:val="1"/>
        <w:rPr>
          <w:rFonts w:ascii="仿宋_GB2312" w:eastAsia="仿宋_GB2312"/>
          <w:color w:val="000000"/>
          <w:sz w:val="26"/>
          <w:szCs w:val="26"/>
        </w:rPr>
      </w:pPr>
      <w:r>
        <w:rPr>
          <w:rFonts w:hint="eastAsia" w:ascii="仿宋_GB2312" w:eastAsia="仿宋_GB2312"/>
          <w:color w:val="000000"/>
          <w:sz w:val="26"/>
          <w:szCs w:val="26"/>
        </w:rPr>
        <w:t>（四）固体废物</w:t>
      </w:r>
    </w:p>
    <w:p>
      <w:pPr>
        <w:pStyle w:val="22"/>
        <w:shd w:val="clear" w:color="auto" w:fill="auto"/>
        <w:snapToGrid w:val="0"/>
        <w:spacing w:before="0" w:line="360" w:lineRule="auto"/>
        <w:ind w:firstLine="480"/>
        <w:rPr>
          <w:rFonts w:ascii="仿宋_GB2312" w:eastAsia="仿宋_GB2312" w:hAnsiTheme="minorHAnsi" w:cstheme="minorBidi"/>
          <w:sz w:val="26"/>
          <w:szCs w:val="26"/>
        </w:rPr>
      </w:pPr>
      <w:r>
        <w:rPr>
          <w:rFonts w:hint="eastAsia" w:ascii="仿宋_GB2312" w:eastAsia="仿宋_GB2312" w:hAnsiTheme="minorHAnsi" w:cstheme="minorBidi"/>
          <w:sz w:val="26"/>
          <w:szCs w:val="26"/>
        </w:rPr>
        <w:t>本项目正常营运过程中产生的固废主要为蒸馏过程中产生的高沸物、蒸馏前馏分、废催化剂、污水处理站污泥、废活性炭及职工生活垃圾。</w:t>
      </w:r>
    </w:p>
    <w:p>
      <w:pPr>
        <w:pStyle w:val="22"/>
        <w:shd w:val="clear" w:color="auto" w:fill="auto"/>
        <w:snapToGrid w:val="0"/>
        <w:spacing w:before="0" w:line="360" w:lineRule="auto"/>
        <w:ind w:firstLine="480"/>
        <w:rPr>
          <w:rFonts w:ascii="仿宋_GB2312" w:eastAsia="仿宋_GB2312" w:hAnsiTheme="minorHAnsi" w:cstheme="minorBidi"/>
          <w:sz w:val="26"/>
          <w:szCs w:val="26"/>
        </w:rPr>
      </w:pPr>
      <w:r>
        <w:rPr>
          <w:rFonts w:hint="eastAsia" w:ascii="仿宋_GB2312" w:eastAsia="仿宋_GB2312" w:hAnsiTheme="minorHAnsi" w:cstheme="minorBidi"/>
          <w:sz w:val="26"/>
          <w:szCs w:val="26"/>
        </w:rPr>
        <w:t>高沸物、蒸馏前馏分均经</w:t>
      </w:r>
      <w:r>
        <w:rPr>
          <w:rFonts w:ascii="仿宋_GB2312" w:eastAsia="仿宋_GB2312" w:hAnsiTheme="minorHAnsi" w:cstheme="minorBidi"/>
          <w:sz w:val="26"/>
          <w:szCs w:val="26"/>
        </w:rPr>
        <w:t>企业焚烧炉内焚烧处理；</w:t>
      </w:r>
      <w:r>
        <w:rPr>
          <w:rFonts w:hint="eastAsia" w:ascii="仿宋_GB2312" w:eastAsia="仿宋_GB2312" w:hAnsiTheme="minorHAnsi" w:cstheme="minorBidi"/>
          <w:sz w:val="26"/>
          <w:szCs w:val="26"/>
        </w:rPr>
        <w:t>废催化剂由厂家进行回收；</w:t>
      </w:r>
      <w:r>
        <w:rPr>
          <w:rFonts w:ascii="仿宋_GB2312" w:eastAsia="仿宋_GB2312" w:hAnsiTheme="minorHAnsi" w:cstheme="minorBidi"/>
          <w:sz w:val="26"/>
          <w:szCs w:val="26"/>
        </w:rPr>
        <w:t>污水处理站污泥、废活性炭经收集暂存后送至企业焚烧炉内焚烧处理；生活垃圾集中收集后由环卫部门定期清运</w:t>
      </w:r>
      <w:r>
        <w:rPr>
          <w:rFonts w:hint="eastAsia" w:ascii="仿宋_GB2312" w:eastAsia="仿宋_GB2312" w:hAnsiTheme="minorHAnsi" w:cstheme="minorBidi"/>
          <w:sz w:val="26"/>
          <w:szCs w:val="26"/>
        </w:rPr>
        <w:t>。</w:t>
      </w:r>
    </w:p>
    <w:p>
      <w:pPr>
        <w:pStyle w:val="27"/>
        <w:spacing w:before="0" w:beforeAutospacing="0" w:after="0" w:afterAutospacing="0" w:line="360" w:lineRule="auto"/>
        <w:jc w:val="both"/>
        <w:outlineLvl w:val="0"/>
        <w:rPr>
          <w:rFonts w:ascii="仿宋_GB2312" w:eastAsia="仿宋_GB2312"/>
          <w:b/>
          <w:color w:val="000000"/>
          <w:sz w:val="28"/>
          <w:szCs w:val="28"/>
        </w:rPr>
      </w:pPr>
      <w:r>
        <w:rPr>
          <w:rFonts w:hint="eastAsia" w:ascii="仿宋_GB2312" w:eastAsia="仿宋_GB2312"/>
          <w:b/>
          <w:color w:val="000000"/>
          <w:sz w:val="28"/>
          <w:szCs w:val="28"/>
        </w:rPr>
        <w:t>四、环境保护设施调试效果</w:t>
      </w:r>
    </w:p>
    <w:p>
      <w:pPr>
        <w:pStyle w:val="27"/>
        <w:snapToGrid w:val="0"/>
        <w:spacing w:before="0" w:beforeAutospacing="0" w:after="0" w:afterAutospacing="0" w:line="500" w:lineRule="exact"/>
        <w:ind w:firstLine="560" w:firstLineChars="200"/>
        <w:jc w:val="both"/>
        <w:outlineLvl w:val="0"/>
        <w:rPr>
          <w:rFonts w:ascii="仿宋_GB2312" w:eastAsia="仿宋_GB2312" w:hAnsiTheme="minorHAnsi" w:cstheme="minorBidi"/>
          <w:spacing w:val="10"/>
          <w:kern w:val="2"/>
          <w:sz w:val="26"/>
          <w:szCs w:val="26"/>
        </w:rPr>
      </w:pPr>
      <w:r>
        <w:rPr>
          <w:rFonts w:hint="eastAsia" w:ascii="仿宋_GB2312" w:eastAsia="仿宋_GB2312" w:hAnsiTheme="minorHAnsi" w:cstheme="minorBidi"/>
          <w:spacing w:val="10"/>
          <w:kern w:val="2"/>
          <w:sz w:val="26"/>
          <w:szCs w:val="26"/>
        </w:rPr>
        <w:t>（一）环保设施处理效率</w:t>
      </w:r>
    </w:p>
    <w:p>
      <w:pPr>
        <w:pStyle w:val="27"/>
        <w:snapToGrid w:val="0"/>
        <w:spacing w:before="0" w:beforeAutospacing="0" w:after="0" w:afterAutospacing="0" w:line="500" w:lineRule="exact"/>
        <w:ind w:firstLine="560" w:firstLineChars="200"/>
        <w:jc w:val="both"/>
        <w:outlineLvl w:val="0"/>
        <w:rPr>
          <w:rFonts w:ascii="仿宋_GB2312" w:eastAsia="仿宋_GB2312" w:hAnsiTheme="minorHAnsi" w:cstheme="minorBidi"/>
          <w:spacing w:val="10"/>
          <w:kern w:val="2"/>
          <w:sz w:val="26"/>
          <w:szCs w:val="26"/>
        </w:rPr>
      </w:pPr>
      <w:r>
        <w:rPr>
          <w:rFonts w:hint="eastAsia" w:ascii="仿宋_GB2312" w:eastAsia="仿宋_GB2312" w:hAnsiTheme="minorHAnsi" w:cstheme="minorBidi"/>
          <w:spacing w:val="10"/>
          <w:kern w:val="2"/>
          <w:sz w:val="26"/>
          <w:szCs w:val="26"/>
        </w:rPr>
        <w:t>1.废水</w:t>
      </w:r>
    </w:p>
    <w:p>
      <w:pPr>
        <w:pStyle w:val="22"/>
        <w:shd w:val="clear" w:color="auto" w:fill="auto"/>
        <w:snapToGrid w:val="0"/>
        <w:spacing w:before="0" w:line="500" w:lineRule="exact"/>
        <w:ind w:firstLine="560" w:firstLineChars="200"/>
        <w:rPr>
          <w:rFonts w:ascii="仿宋_GB2312" w:eastAsia="仿宋_GB2312" w:hAnsiTheme="minorHAnsi" w:cstheme="minorBidi"/>
          <w:sz w:val="26"/>
          <w:szCs w:val="26"/>
        </w:rPr>
      </w:pPr>
      <w:r>
        <w:rPr>
          <w:rFonts w:hint="eastAsia" w:ascii="仿宋_GB2312" w:eastAsia="仿宋_GB2312" w:hAnsiTheme="minorHAnsi" w:cstheme="minorBidi"/>
          <w:sz w:val="26"/>
          <w:szCs w:val="26"/>
        </w:rPr>
        <w:t>本次验收监测对企业污水处理站总排口废水进行了监测，由监测结果可知，厂区废水总排口废水中pH为7.31</w:t>
      </w:r>
      <w:r>
        <w:rPr>
          <w:rFonts w:ascii="仿宋_GB2312" w:eastAsia="仿宋_GB2312" w:hAnsiTheme="minorHAnsi" w:cstheme="minorBidi"/>
          <w:sz w:val="26"/>
          <w:szCs w:val="26"/>
        </w:rPr>
        <w:t>~</w:t>
      </w:r>
      <w:r>
        <w:rPr>
          <w:rFonts w:hint="eastAsia" w:ascii="仿宋_GB2312" w:eastAsia="仿宋_GB2312" w:hAnsiTheme="minorHAnsi" w:cstheme="minorBidi"/>
          <w:sz w:val="26"/>
          <w:szCs w:val="26"/>
        </w:rPr>
        <w:t>7.33，COD日均浓度值为62</w:t>
      </w:r>
      <w:r>
        <w:rPr>
          <w:rFonts w:ascii="仿宋_GB2312" w:eastAsia="仿宋_GB2312" w:hAnsiTheme="minorHAnsi" w:cstheme="minorBidi"/>
          <w:sz w:val="26"/>
          <w:szCs w:val="26"/>
        </w:rPr>
        <w:t>~</w:t>
      </w:r>
      <w:r>
        <w:rPr>
          <w:rFonts w:hint="eastAsia" w:ascii="仿宋_GB2312" w:eastAsia="仿宋_GB2312" w:hAnsiTheme="minorHAnsi" w:cstheme="minorBidi"/>
          <w:sz w:val="26"/>
          <w:szCs w:val="26"/>
        </w:rPr>
        <w:t>66mg/L，氨氮日均浓度值为0.116</w:t>
      </w:r>
      <w:r>
        <w:rPr>
          <w:rFonts w:ascii="仿宋_GB2312" w:eastAsia="仿宋_GB2312" w:hAnsiTheme="minorHAnsi" w:cstheme="minorBidi"/>
          <w:sz w:val="26"/>
          <w:szCs w:val="26"/>
        </w:rPr>
        <w:t>~</w:t>
      </w:r>
      <w:r>
        <w:rPr>
          <w:rFonts w:hint="eastAsia" w:ascii="仿宋_GB2312" w:eastAsia="仿宋_GB2312" w:hAnsiTheme="minorHAnsi" w:cstheme="minorBidi"/>
          <w:sz w:val="26"/>
          <w:szCs w:val="26"/>
        </w:rPr>
        <w:t>0.125mg/L，SS日均浓度值为20</w:t>
      </w:r>
      <w:r>
        <w:rPr>
          <w:rFonts w:ascii="仿宋_GB2312" w:eastAsia="仿宋_GB2312" w:hAnsiTheme="minorHAnsi" w:cstheme="minorBidi"/>
          <w:sz w:val="26"/>
          <w:szCs w:val="26"/>
        </w:rPr>
        <w:t>~</w:t>
      </w:r>
      <w:r>
        <w:rPr>
          <w:rFonts w:hint="eastAsia" w:ascii="仿宋_GB2312" w:eastAsia="仿宋_GB2312" w:hAnsiTheme="minorHAnsi" w:cstheme="minorBidi"/>
          <w:sz w:val="26"/>
          <w:szCs w:val="26"/>
        </w:rPr>
        <w:t>25mg/L，BOD</w:t>
      </w:r>
      <w:r>
        <w:rPr>
          <w:rFonts w:hint="eastAsia" w:ascii="仿宋_GB2312" w:eastAsia="仿宋_GB2312" w:hAnsiTheme="minorHAnsi" w:cstheme="minorBidi"/>
          <w:sz w:val="26"/>
          <w:szCs w:val="26"/>
          <w:vertAlign w:val="subscript"/>
        </w:rPr>
        <w:t>5</w:t>
      </w:r>
      <w:r>
        <w:rPr>
          <w:rFonts w:hint="eastAsia" w:ascii="仿宋_GB2312" w:eastAsia="仿宋_GB2312" w:hAnsiTheme="minorHAnsi" w:cstheme="minorBidi"/>
          <w:sz w:val="26"/>
          <w:szCs w:val="26"/>
        </w:rPr>
        <w:t>日均浓度值为21.5</w:t>
      </w:r>
      <w:r>
        <w:rPr>
          <w:rFonts w:ascii="仿宋_GB2312" w:eastAsia="仿宋_GB2312" w:hAnsiTheme="minorHAnsi" w:cstheme="minorBidi"/>
          <w:sz w:val="26"/>
          <w:szCs w:val="26"/>
        </w:rPr>
        <w:t>~</w:t>
      </w:r>
      <w:r>
        <w:rPr>
          <w:rFonts w:hint="eastAsia" w:ascii="仿宋_GB2312" w:eastAsia="仿宋_GB2312" w:hAnsiTheme="minorHAnsi" w:cstheme="minorBidi"/>
          <w:sz w:val="26"/>
          <w:szCs w:val="26"/>
        </w:rPr>
        <w:t>22.7mg/L，均满足《化学合成类制药工业水污染物间接排放标准》（DB41/756-2015）表1标准要求。</w:t>
      </w:r>
    </w:p>
    <w:p>
      <w:pPr>
        <w:pStyle w:val="22"/>
        <w:shd w:val="clear" w:color="auto" w:fill="auto"/>
        <w:snapToGrid w:val="0"/>
        <w:spacing w:before="0" w:line="500" w:lineRule="exact"/>
        <w:ind w:firstLine="480"/>
        <w:rPr>
          <w:rFonts w:ascii="仿宋_GB2312" w:eastAsia="仿宋_GB2312" w:hAnsiTheme="minorHAnsi" w:cstheme="minorBidi"/>
          <w:sz w:val="26"/>
          <w:szCs w:val="26"/>
        </w:rPr>
      </w:pPr>
      <w:r>
        <w:rPr>
          <w:rFonts w:hint="eastAsia" w:ascii="仿宋_GB2312" w:eastAsia="仿宋_GB2312" w:hAnsiTheme="minorHAnsi" w:cstheme="minorBidi"/>
          <w:sz w:val="26"/>
          <w:szCs w:val="26"/>
        </w:rPr>
        <w:t>2、废气治理设施</w:t>
      </w:r>
    </w:p>
    <w:p>
      <w:pPr>
        <w:pStyle w:val="22"/>
        <w:shd w:val="clear" w:color="auto" w:fill="auto"/>
        <w:tabs>
          <w:tab w:val="left" w:pos="1071"/>
        </w:tabs>
        <w:snapToGrid w:val="0"/>
        <w:spacing w:before="0" w:line="500" w:lineRule="exact"/>
        <w:ind w:firstLine="560" w:firstLineChars="200"/>
        <w:rPr>
          <w:rFonts w:ascii="仿宋_GB2312" w:eastAsia="仿宋_GB2312" w:hAnsiTheme="minorHAnsi" w:cstheme="minorBidi"/>
          <w:sz w:val="26"/>
          <w:szCs w:val="26"/>
        </w:rPr>
      </w:pPr>
      <w:r>
        <w:rPr>
          <w:rFonts w:hint="eastAsia" w:ascii="仿宋_GB2312" w:eastAsia="仿宋_GB2312" w:hAnsiTheme="minorHAnsi" w:cstheme="minorBidi"/>
          <w:sz w:val="26"/>
          <w:szCs w:val="26"/>
        </w:rPr>
        <w:t>（1）有组织废气</w:t>
      </w:r>
    </w:p>
    <w:p>
      <w:pPr>
        <w:pStyle w:val="22"/>
        <w:shd w:val="clear" w:color="auto" w:fill="auto"/>
        <w:tabs>
          <w:tab w:val="left" w:pos="1071"/>
        </w:tabs>
        <w:spacing w:before="0" w:line="500" w:lineRule="exact"/>
        <w:ind w:firstLine="560" w:firstLineChars="200"/>
        <w:rPr>
          <w:rFonts w:hint="eastAsia" w:ascii="仿宋_GB2312" w:eastAsia="仿宋_GB2312" w:hAnsiTheme="minorHAnsi" w:cstheme="minorBidi"/>
          <w:sz w:val="26"/>
          <w:szCs w:val="26"/>
        </w:rPr>
      </w:pPr>
      <w:r>
        <w:rPr>
          <w:rFonts w:hint="eastAsia" w:ascii="仿宋_GB2312" w:eastAsia="仿宋_GB2312" w:hAnsiTheme="minorHAnsi" w:cstheme="minorBidi"/>
          <w:sz w:val="26"/>
          <w:szCs w:val="26"/>
        </w:rPr>
        <w:t>验收监测期间，项目厂区燃气锅炉运行负荷在75%以上时产生的废气颗粒物浓度为2.7</w:t>
      </w:r>
      <w:r>
        <w:rPr>
          <w:rFonts w:ascii="仿宋_GB2312" w:eastAsia="仿宋_GB2312" w:hAnsiTheme="minorHAnsi" w:cstheme="minorBidi"/>
          <w:sz w:val="26"/>
          <w:szCs w:val="26"/>
        </w:rPr>
        <w:t>~</w:t>
      </w:r>
      <w:r>
        <w:rPr>
          <w:rFonts w:hint="eastAsia" w:ascii="仿宋_GB2312" w:eastAsia="仿宋_GB2312" w:hAnsiTheme="minorHAnsi" w:cstheme="minorBidi"/>
          <w:sz w:val="26"/>
          <w:szCs w:val="26"/>
        </w:rPr>
        <w:t>3.8mg/m</w:t>
      </w:r>
      <w:r>
        <w:rPr>
          <w:rFonts w:hint="eastAsia" w:ascii="仿宋_GB2312" w:eastAsia="仿宋_GB2312" w:hAnsiTheme="minorHAnsi" w:cstheme="minorBidi"/>
          <w:sz w:val="26"/>
          <w:szCs w:val="26"/>
          <w:vertAlign w:val="superscript"/>
        </w:rPr>
        <w:t>3</w:t>
      </w:r>
      <w:r>
        <w:rPr>
          <w:rFonts w:hint="eastAsia" w:ascii="仿宋_GB2312" w:eastAsia="仿宋_GB2312" w:hAnsiTheme="minorHAnsi" w:cstheme="minorBidi"/>
          <w:sz w:val="26"/>
          <w:szCs w:val="26"/>
        </w:rPr>
        <w:t>，SO</w:t>
      </w:r>
      <w:r>
        <w:rPr>
          <w:rFonts w:hint="eastAsia" w:ascii="仿宋_GB2312" w:eastAsia="仿宋_GB2312" w:hAnsiTheme="minorHAnsi" w:cstheme="minorBidi"/>
          <w:sz w:val="26"/>
          <w:szCs w:val="26"/>
          <w:vertAlign w:val="subscript"/>
        </w:rPr>
        <w:t>2</w:t>
      </w:r>
      <w:r>
        <w:rPr>
          <w:rFonts w:hint="eastAsia" w:ascii="仿宋_GB2312" w:eastAsia="仿宋_GB2312" w:hAnsiTheme="minorHAnsi" w:cstheme="minorBidi"/>
          <w:sz w:val="26"/>
          <w:szCs w:val="26"/>
        </w:rPr>
        <w:t>浓度为7</w:t>
      </w:r>
      <w:r>
        <w:rPr>
          <w:rFonts w:ascii="仿宋_GB2312" w:eastAsia="仿宋_GB2312" w:hAnsiTheme="minorHAnsi" w:cstheme="minorBidi"/>
          <w:sz w:val="26"/>
          <w:szCs w:val="26"/>
        </w:rPr>
        <w:t>~</w:t>
      </w:r>
      <w:r>
        <w:rPr>
          <w:rFonts w:hint="eastAsia" w:ascii="仿宋_GB2312" w:eastAsia="仿宋_GB2312" w:hAnsiTheme="minorHAnsi" w:cstheme="minorBidi"/>
          <w:sz w:val="26"/>
          <w:szCs w:val="26"/>
        </w:rPr>
        <w:t>8mg/m</w:t>
      </w:r>
      <w:r>
        <w:rPr>
          <w:rFonts w:hint="eastAsia" w:ascii="仿宋_GB2312" w:eastAsia="仿宋_GB2312" w:hAnsiTheme="minorHAnsi" w:cstheme="minorBidi"/>
          <w:sz w:val="26"/>
          <w:szCs w:val="26"/>
          <w:vertAlign w:val="superscript"/>
        </w:rPr>
        <w:t>3</w:t>
      </w:r>
      <w:r>
        <w:rPr>
          <w:rFonts w:hint="eastAsia" w:ascii="仿宋_GB2312" w:eastAsia="仿宋_GB2312" w:hAnsiTheme="minorHAnsi" w:cstheme="minorBidi"/>
          <w:sz w:val="26"/>
          <w:szCs w:val="26"/>
        </w:rPr>
        <w:t>，NOx浓度为24</w:t>
      </w:r>
      <w:r>
        <w:rPr>
          <w:rFonts w:ascii="仿宋_GB2312" w:eastAsia="仿宋_GB2312" w:hAnsiTheme="minorHAnsi" w:cstheme="minorBidi"/>
          <w:sz w:val="26"/>
          <w:szCs w:val="26"/>
        </w:rPr>
        <w:t>~</w:t>
      </w:r>
      <w:r>
        <w:rPr>
          <w:rFonts w:hint="eastAsia" w:ascii="仿宋_GB2312" w:eastAsia="仿宋_GB2312" w:hAnsiTheme="minorHAnsi" w:cstheme="minorBidi"/>
          <w:sz w:val="26"/>
          <w:szCs w:val="26"/>
        </w:rPr>
        <w:t>26mg/m</w:t>
      </w:r>
      <w:r>
        <w:rPr>
          <w:rFonts w:hint="eastAsia" w:ascii="仿宋_GB2312" w:eastAsia="仿宋_GB2312" w:hAnsiTheme="minorHAnsi" w:cstheme="minorBidi"/>
          <w:sz w:val="26"/>
          <w:szCs w:val="26"/>
          <w:vertAlign w:val="superscript"/>
        </w:rPr>
        <w:t>3</w:t>
      </w:r>
      <w:r>
        <w:rPr>
          <w:rFonts w:hint="eastAsia" w:ascii="仿宋_GB2312" w:eastAsia="仿宋_GB2312" w:hAnsiTheme="minorHAnsi" w:cstheme="minorBidi"/>
          <w:sz w:val="26"/>
          <w:szCs w:val="26"/>
        </w:rPr>
        <w:t>，均满足《锅炉大气污染物排放标准》（GB13271-2001）标准要求及《新乡市加快开展燃气锅炉低氮改造工作实施方案》（新环攻坚办〔2019〕25 号）排放要求。</w:t>
      </w:r>
    </w:p>
    <w:p>
      <w:pPr>
        <w:pStyle w:val="22"/>
        <w:shd w:val="clear" w:color="auto" w:fill="auto"/>
        <w:tabs>
          <w:tab w:val="left" w:pos="1071"/>
        </w:tabs>
        <w:snapToGrid w:val="0"/>
        <w:spacing w:before="0" w:line="500" w:lineRule="exact"/>
        <w:ind w:firstLine="560" w:firstLineChars="200"/>
        <w:rPr>
          <w:rFonts w:ascii="仿宋_GB2312" w:eastAsia="仿宋_GB2312" w:hAnsiTheme="minorHAnsi" w:cstheme="minorBidi"/>
          <w:sz w:val="26"/>
          <w:szCs w:val="26"/>
        </w:rPr>
      </w:pPr>
      <w:r>
        <w:rPr>
          <w:rFonts w:hint="eastAsia" w:ascii="仿宋_GB2312" w:eastAsia="仿宋_GB2312" w:hAnsiTheme="minorHAnsi" w:cstheme="minorBidi"/>
          <w:sz w:val="26"/>
          <w:szCs w:val="26"/>
        </w:rPr>
        <w:t>验收监测期间，项目车间产生的废气经两级碱水喷淋+活性炭吸附装置处理后排气筒总出口非甲烷总烃浓度为16.2</w:t>
      </w:r>
      <w:r>
        <w:rPr>
          <w:rFonts w:ascii="仿宋_GB2312" w:eastAsia="仿宋_GB2312" w:hAnsiTheme="minorHAnsi" w:cstheme="minorBidi"/>
          <w:sz w:val="26"/>
          <w:szCs w:val="26"/>
        </w:rPr>
        <w:t>~</w:t>
      </w:r>
      <w:r>
        <w:rPr>
          <w:rFonts w:hint="eastAsia" w:ascii="仿宋_GB2312" w:eastAsia="仿宋_GB2312" w:hAnsiTheme="minorHAnsi" w:cstheme="minorBidi"/>
          <w:sz w:val="26"/>
          <w:szCs w:val="26"/>
        </w:rPr>
        <w:t>18.7mg/m</w:t>
      </w:r>
      <w:r>
        <w:rPr>
          <w:rFonts w:hint="eastAsia" w:ascii="仿宋_GB2312" w:eastAsia="仿宋_GB2312" w:hAnsiTheme="minorHAnsi" w:cstheme="minorBidi"/>
          <w:sz w:val="26"/>
          <w:szCs w:val="26"/>
          <w:vertAlign w:val="superscript"/>
        </w:rPr>
        <w:t>3</w:t>
      </w:r>
      <w:r>
        <w:rPr>
          <w:rFonts w:hint="eastAsia" w:ascii="仿宋_GB2312" w:eastAsia="仿宋_GB2312" w:hAnsiTheme="minorHAnsi" w:cstheme="minorBidi"/>
          <w:sz w:val="26"/>
          <w:szCs w:val="26"/>
        </w:rPr>
        <w:t>，甲苯浓度为1.08</w:t>
      </w:r>
      <w:r>
        <w:rPr>
          <w:rFonts w:ascii="仿宋_GB2312" w:eastAsia="仿宋_GB2312" w:hAnsiTheme="minorHAnsi" w:cstheme="minorBidi"/>
          <w:sz w:val="26"/>
          <w:szCs w:val="26"/>
        </w:rPr>
        <w:t>~</w:t>
      </w:r>
      <w:r>
        <w:rPr>
          <w:rFonts w:hint="eastAsia" w:ascii="仿宋_GB2312" w:eastAsia="仿宋_GB2312" w:hAnsiTheme="minorHAnsi" w:cstheme="minorBidi"/>
          <w:sz w:val="26"/>
          <w:szCs w:val="26"/>
        </w:rPr>
        <w:t>1.36mg/m</w:t>
      </w:r>
      <w:r>
        <w:rPr>
          <w:rFonts w:hint="eastAsia" w:ascii="仿宋_GB2312" w:eastAsia="仿宋_GB2312" w:hAnsiTheme="minorHAnsi" w:cstheme="minorBidi"/>
          <w:sz w:val="26"/>
          <w:szCs w:val="26"/>
          <w:vertAlign w:val="superscript"/>
        </w:rPr>
        <w:t>3</w:t>
      </w:r>
      <w:r>
        <w:rPr>
          <w:rFonts w:hint="eastAsia" w:ascii="仿宋_GB2312" w:eastAsia="仿宋_GB2312" w:hAnsiTheme="minorHAnsi" w:cstheme="minorBidi"/>
          <w:sz w:val="26"/>
          <w:szCs w:val="26"/>
        </w:rPr>
        <w:t>，二甲苯浓度为2.74</w:t>
      </w:r>
      <w:r>
        <w:rPr>
          <w:rFonts w:ascii="仿宋_GB2312" w:eastAsia="仿宋_GB2312" w:hAnsiTheme="minorHAnsi" w:cstheme="minorBidi"/>
          <w:sz w:val="26"/>
          <w:szCs w:val="26"/>
        </w:rPr>
        <w:t>~</w:t>
      </w:r>
      <w:r>
        <w:rPr>
          <w:rFonts w:hint="eastAsia" w:ascii="仿宋_GB2312" w:eastAsia="仿宋_GB2312" w:hAnsiTheme="minorHAnsi" w:cstheme="minorBidi"/>
          <w:sz w:val="26"/>
          <w:szCs w:val="26"/>
        </w:rPr>
        <w:t>3.01mg/m</w:t>
      </w:r>
      <w:r>
        <w:rPr>
          <w:rFonts w:hint="eastAsia" w:ascii="仿宋_GB2312" w:eastAsia="仿宋_GB2312" w:hAnsiTheme="minorHAnsi" w:cstheme="minorBidi"/>
          <w:sz w:val="26"/>
          <w:szCs w:val="26"/>
          <w:vertAlign w:val="superscript"/>
        </w:rPr>
        <w:t>3</w:t>
      </w:r>
      <w:r>
        <w:rPr>
          <w:rFonts w:hint="eastAsia" w:ascii="仿宋_GB2312" w:eastAsia="仿宋_GB2312" w:hAnsiTheme="minorHAnsi" w:cstheme="minorBidi"/>
          <w:sz w:val="26"/>
          <w:szCs w:val="26"/>
        </w:rPr>
        <w:t>，均满足《关于全省工业企业挥发性有机物专项治理工作中排放建议值的通知》豫环攻坚办[2017]162号排放建议值要求。</w:t>
      </w:r>
    </w:p>
    <w:p>
      <w:pPr>
        <w:pStyle w:val="22"/>
        <w:shd w:val="clear" w:color="auto" w:fill="auto"/>
        <w:tabs>
          <w:tab w:val="left" w:pos="1071"/>
        </w:tabs>
        <w:snapToGrid w:val="0"/>
        <w:spacing w:before="0" w:line="500" w:lineRule="exact"/>
        <w:ind w:firstLine="560" w:firstLineChars="200"/>
        <w:rPr>
          <w:rFonts w:ascii="仿宋_GB2312" w:eastAsia="仿宋_GB2312" w:hAnsiTheme="minorHAnsi" w:cstheme="minorBidi"/>
          <w:sz w:val="26"/>
          <w:szCs w:val="26"/>
        </w:rPr>
      </w:pPr>
      <w:r>
        <w:rPr>
          <w:rFonts w:hint="eastAsia" w:ascii="仿宋_GB2312" w:eastAsia="仿宋_GB2312" w:hAnsiTheme="minorHAnsi" w:cstheme="minorBidi"/>
          <w:sz w:val="26"/>
          <w:szCs w:val="26"/>
        </w:rPr>
        <w:t>（2）无组织废气</w:t>
      </w:r>
    </w:p>
    <w:p>
      <w:pPr>
        <w:pStyle w:val="22"/>
        <w:shd w:val="clear" w:color="auto" w:fill="auto"/>
        <w:tabs>
          <w:tab w:val="left" w:pos="1071"/>
        </w:tabs>
        <w:spacing w:before="0" w:line="500" w:lineRule="exact"/>
        <w:ind w:firstLine="560" w:firstLineChars="200"/>
        <w:rPr>
          <w:rFonts w:hint="eastAsia" w:ascii="仿宋_GB2312" w:eastAsia="仿宋_GB2312" w:hAnsiTheme="minorHAnsi" w:cstheme="minorBidi"/>
          <w:sz w:val="26"/>
          <w:szCs w:val="26"/>
        </w:rPr>
      </w:pPr>
      <w:r>
        <w:rPr>
          <w:rFonts w:hint="eastAsia" w:ascii="仿宋_GB2312" w:eastAsia="仿宋_GB2312" w:hAnsiTheme="minorHAnsi" w:cstheme="minorBidi"/>
          <w:sz w:val="26"/>
          <w:szCs w:val="26"/>
        </w:rPr>
        <w:t>验收监测期间，项目厂界无组织废气颗粒物浓度最大值为0.352mg/m</w:t>
      </w:r>
      <w:r>
        <w:rPr>
          <w:rFonts w:hint="eastAsia" w:ascii="仿宋_GB2312" w:eastAsia="仿宋_GB2312" w:hAnsiTheme="minorHAnsi" w:cstheme="minorBidi"/>
          <w:sz w:val="26"/>
          <w:szCs w:val="26"/>
          <w:vertAlign w:val="superscript"/>
        </w:rPr>
        <w:t>3</w:t>
      </w:r>
      <w:r>
        <w:rPr>
          <w:rFonts w:hint="eastAsia" w:ascii="仿宋_GB2312" w:eastAsia="仿宋_GB2312" w:hAnsiTheme="minorHAnsi" w:cstheme="minorBidi"/>
          <w:sz w:val="26"/>
          <w:szCs w:val="26"/>
        </w:rPr>
        <w:t>，满足《大气污染物综合排放标准》GB16297-1996颗粒物无组织排放标准要求；项目周界无组织废气中非甲烷总烃浓度最大值为1.05mg/m</w:t>
      </w:r>
      <w:r>
        <w:rPr>
          <w:rFonts w:hint="eastAsia" w:ascii="仿宋_GB2312" w:eastAsia="仿宋_GB2312" w:hAnsiTheme="minorHAnsi" w:cstheme="minorBidi"/>
          <w:sz w:val="26"/>
          <w:szCs w:val="26"/>
          <w:vertAlign w:val="superscript"/>
        </w:rPr>
        <w:t>3</w:t>
      </w:r>
      <w:r>
        <w:rPr>
          <w:rFonts w:hint="eastAsia" w:ascii="仿宋_GB2312" w:eastAsia="仿宋_GB2312" w:hAnsiTheme="minorHAnsi" w:cstheme="minorBidi"/>
          <w:sz w:val="26"/>
          <w:szCs w:val="26"/>
        </w:rPr>
        <w:t>，甲苯浓度最大值为0.0441mg/m</w:t>
      </w:r>
      <w:r>
        <w:rPr>
          <w:rFonts w:hint="eastAsia" w:ascii="仿宋_GB2312" w:eastAsia="仿宋_GB2312" w:hAnsiTheme="minorHAnsi" w:cstheme="minorBidi"/>
          <w:sz w:val="26"/>
          <w:szCs w:val="26"/>
          <w:vertAlign w:val="superscript"/>
        </w:rPr>
        <w:t>3</w:t>
      </w:r>
      <w:r>
        <w:rPr>
          <w:rFonts w:hint="eastAsia" w:ascii="仿宋_GB2312" w:eastAsia="仿宋_GB2312" w:hAnsiTheme="minorHAnsi" w:cstheme="minorBidi"/>
          <w:sz w:val="26"/>
          <w:szCs w:val="26"/>
        </w:rPr>
        <w:t>，均满足《关于全省开展工业企业挥发性有机物专项治理工作中排放建议值要求》豫环攻坚办[2017]162号文其他行业标准限值要求。</w:t>
      </w:r>
    </w:p>
    <w:p>
      <w:pPr>
        <w:pStyle w:val="22"/>
        <w:shd w:val="clear" w:color="auto" w:fill="auto"/>
        <w:tabs>
          <w:tab w:val="left" w:pos="1071"/>
        </w:tabs>
        <w:spacing w:before="0" w:line="500" w:lineRule="exact"/>
        <w:ind w:firstLine="560" w:firstLineChars="200"/>
        <w:rPr>
          <w:rFonts w:ascii="仿宋_GB2312" w:eastAsia="仿宋_GB2312" w:hAnsiTheme="minorHAnsi" w:cstheme="minorBidi"/>
          <w:sz w:val="26"/>
          <w:szCs w:val="26"/>
        </w:rPr>
      </w:pPr>
      <w:r>
        <w:rPr>
          <w:rFonts w:hint="eastAsia" w:ascii="仿宋_GB2312" w:eastAsia="仿宋_GB2312" w:hAnsiTheme="minorHAnsi" w:cstheme="minorBidi"/>
          <w:sz w:val="26"/>
          <w:szCs w:val="26"/>
        </w:rPr>
        <w:t>综上所述，本项目废气处理设施处理效果能够满足环评及批复要求。</w:t>
      </w:r>
    </w:p>
    <w:p>
      <w:pPr>
        <w:snapToGrid w:val="0"/>
        <w:spacing w:line="500" w:lineRule="exact"/>
        <w:ind w:firstLine="520" w:firstLineChars="200"/>
        <w:jc w:val="left"/>
        <w:rPr>
          <w:rFonts w:ascii="仿宋_GB2312" w:eastAsia="仿宋_GB2312"/>
          <w:sz w:val="26"/>
          <w:szCs w:val="26"/>
        </w:rPr>
      </w:pPr>
      <w:r>
        <w:rPr>
          <w:rFonts w:hint="eastAsia" w:ascii="仿宋_GB2312" w:eastAsia="仿宋_GB2312"/>
          <w:sz w:val="26"/>
          <w:szCs w:val="26"/>
        </w:rPr>
        <w:t>3、厂界噪声</w:t>
      </w:r>
    </w:p>
    <w:p>
      <w:pPr>
        <w:pStyle w:val="22"/>
        <w:shd w:val="clear" w:color="auto" w:fill="auto"/>
        <w:tabs>
          <w:tab w:val="left" w:pos="1071"/>
        </w:tabs>
        <w:snapToGrid w:val="0"/>
        <w:spacing w:before="0" w:line="500" w:lineRule="exact"/>
        <w:ind w:firstLine="560" w:firstLineChars="200"/>
        <w:rPr>
          <w:rFonts w:ascii="仿宋_GB2312" w:eastAsia="仿宋_GB2312" w:hAnsiTheme="minorHAnsi" w:cstheme="minorBidi"/>
          <w:sz w:val="26"/>
          <w:szCs w:val="26"/>
        </w:rPr>
      </w:pPr>
      <w:r>
        <w:rPr>
          <w:rFonts w:hint="eastAsia" w:ascii="仿宋_GB2312" w:eastAsia="仿宋_GB2312" w:hAnsiTheme="minorHAnsi" w:cstheme="minorBidi"/>
          <w:sz w:val="26"/>
          <w:szCs w:val="26"/>
        </w:rPr>
        <w:t>经本次验收监测，本项目厂界四周昼间噪声测定值为53.4</w:t>
      </w:r>
      <w:r>
        <w:rPr>
          <w:rFonts w:ascii="仿宋_GB2312" w:eastAsia="仿宋_GB2312" w:hAnsiTheme="minorHAnsi" w:cstheme="minorBidi"/>
          <w:sz w:val="26"/>
          <w:szCs w:val="26"/>
        </w:rPr>
        <w:t>~</w:t>
      </w:r>
      <w:r>
        <w:rPr>
          <w:rFonts w:hint="eastAsia" w:ascii="仿宋_GB2312" w:eastAsia="仿宋_GB2312" w:hAnsiTheme="minorHAnsi" w:cstheme="minorBidi"/>
          <w:sz w:val="26"/>
          <w:szCs w:val="26"/>
        </w:rPr>
        <w:t>57.1</w:t>
      </w:r>
      <w:r>
        <w:rPr>
          <w:rFonts w:ascii="仿宋_GB2312" w:eastAsia="仿宋_GB2312" w:hAnsiTheme="minorHAnsi" w:cstheme="minorBidi"/>
          <w:sz w:val="26"/>
          <w:szCs w:val="26"/>
        </w:rPr>
        <w:t>dB(A)</w:t>
      </w:r>
      <w:r>
        <w:rPr>
          <w:rFonts w:hint="eastAsia" w:ascii="仿宋_GB2312" w:eastAsia="仿宋_GB2312" w:hAnsiTheme="minorHAnsi" w:cstheme="minorBidi"/>
          <w:sz w:val="26"/>
          <w:szCs w:val="26"/>
        </w:rPr>
        <w:t>，夜间噪声测定值为44.2</w:t>
      </w:r>
      <w:r>
        <w:rPr>
          <w:rFonts w:ascii="仿宋_GB2312" w:eastAsia="仿宋_GB2312" w:hAnsiTheme="minorHAnsi" w:cstheme="minorBidi"/>
          <w:sz w:val="26"/>
          <w:szCs w:val="26"/>
        </w:rPr>
        <w:t>~</w:t>
      </w:r>
      <w:r>
        <w:rPr>
          <w:rFonts w:hint="eastAsia" w:ascii="仿宋_GB2312" w:eastAsia="仿宋_GB2312" w:hAnsiTheme="minorHAnsi" w:cstheme="minorBidi"/>
          <w:sz w:val="26"/>
          <w:szCs w:val="26"/>
        </w:rPr>
        <w:t>46.7</w:t>
      </w:r>
      <w:r>
        <w:rPr>
          <w:rFonts w:ascii="仿宋_GB2312" w:eastAsia="仿宋_GB2312" w:hAnsiTheme="minorHAnsi" w:cstheme="minorBidi"/>
          <w:sz w:val="26"/>
          <w:szCs w:val="26"/>
        </w:rPr>
        <w:t>dB(A)</w:t>
      </w:r>
      <w:r>
        <w:rPr>
          <w:rFonts w:hint="eastAsia" w:ascii="仿宋_GB2312" w:eastAsia="仿宋_GB2312" w:hAnsiTheme="minorHAnsi" w:cstheme="minorBidi"/>
          <w:sz w:val="26"/>
          <w:szCs w:val="26"/>
        </w:rPr>
        <w:t>，均满足《工业企业厂界环境噪声排放标准》2类标准要求。</w:t>
      </w:r>
    </w:p>
    <w:p>
      <w:pPr>
        <w:snapToGrid w:val="0"/>
        <w:spacing w:line="500" w:lineRule="exact"/>
        <w:ind w:firstLine="520" w:firstLineChars="200"/>
        <w:jc w:val="left"/>
        <w:rPr>
          <w:rFonts w:ascii="仿宋_GB2312" w:eastAsia="仿宋_GB2312"/>
          <w:sz w:val="26"/>
          <w:szCs w:val="26"/>
        </w:rPr>
      </w:pPr>
      <w:r>
        <w:rPr>
          <w:rFonts w:hint="eastAsia" w:ascii="仿宋_GB2312" w:eastAsia="仿宋_GB2312"/>
          <w:sz w:val="26"/>
          <w:szCs w:val="26"/>
        </w:rPr>
        <w:t>4、固体废物</w:t>
      </w:r>
    </w:p>
    <w:p>
      <w:pPr>
        <w:snapToGrid w:val="0"/>
        <w:spacing w:line="500" w:lineRule="exact"/>
        <w:ind w:firstLine="520" w:firstLineChars="200"/>
        <w:jc w:val="left"/>
        <w:rPr>
          <w:rFonts w:ascii="仿宋_GB2312" w:eastAsia="仿宋_GB2312"/>
          <w:sz w:val="26"/>
          <w:szCs w:val="26"/>
        </w:rPr>
      </w:pPr>
      <w:r>
        <w:rPr>
          <w:rFonts w:hint="eastAsia" w:ascii="仿宋_GB2312" w:eastAsia="仿宋_GB2312"/>
          <w:sz w:val="26"/>
          <w:szCs w:val="26"/>
        </w:rPr>
        <w:t>本项目高沸物、蒸馏前馏分均经</w:t>
      </w:r>
      <w:r>
        <w:rPr>
          <w:rFonts w:ascii="仿宋_GB2312" w:eastAsia="仿宋_GB2312"/>
          <w:sz w:val="26"/>
          <w:szCs w:val="26"/>
        </w:rPr>
        <w:t>企业焚烧炉内焚烧处理；</w:t>
      </w:r>
      <w:r>
        <w:rPr>
          <w:rFonts w:hint="eastAsia" w:ascii="仿宋_GB2312" w:eastAsia="仿宋_GB2312"/>
          <w:sz w:val="26"/>
          <w:szCs w:val="26"/>
        </w:rPr>
        <w:t>废催化剂由厂家进行回收；</w:t>
      </w:r>
      <w:r>
        <w:rPr>
          <w:rFonts w:ascii="仿宋_GB2312" w:eastAsia="仿宋_GB2312"/>
          <w:sz w:val="26"/>
          <w:szCs w:val="26"/>
        </w:rPr>
        <w:t>污水处理站污泥、废活性炭经收集暂存后送至企业焚烧炉内焚烧处理；生活垃圾集中收集后由环卫部门定期清运</w:t>
      </w:r>
      <w:r>
        <w:rPr>
          <w:rFonts w:hint="eastAsia" w:ascii="仿宋_GB2312" w:eastAsia="仿宋_GB2312"/>
          <w:sz w:val="26"/>
          <w:szCs w:val="26"/>
        </w:rPr>
        <w:t>。</w:t>
      </w:r>
    </w:p>
    <w:p>
      <w:pPr>
        <w:snapToGrid w:val="0"/>
        <w:spacing w:line="500" w:lineRule="exact"/>
        <w:ind w:firstLine="520" w:firstLineChars="200"/>
        <w:jc w:val="left"/>
        <w:rPr>
          <w:rFonts w:ascii="仿宋_GB2312" w:eastAsia="仿宋_GB2312"/>
          <w:sz w:val="26"/>
          <w:szCs w:val="26"/>
        </w:rPr>
      </w:pPr>
      <w:r>
        <w:rPr>
          <w:rFonts w:hint="eastAsia" w:ascii="仿宋_GB2312" w:eastAsia="仿宋_GB2312"/>
          <w:sz w:val="26"/>
          <w:szCs w:val="26"/>
        </w:rPr>
        <w:t>综上，本项目固废均得到有效处置，不会对环境产生二次污染，处置方法符合环评及批复要求。</w:t>
      </w:r>
    </w:p>
    <w:p>
      <w:pPr>
        <w:pStyle w:val="27"/>
        <w:snapToGrid w:val="0"/>
        <w:spacing w:before="0" w:beforeAutospacing="0" w:after="0" w:afterAutospacing="0" w:line="360" w:lineRule="auto"/>
        <w:jc w:val="both"/>
        <w:outlineLvl w:val="0"/>
        <w:rPr>
          <w:rFonts w:ascii="仿宋_GB2312" w:eastAsia="仿宋_GB2312"/>
          <w:b/>
          <w:color w:val="000000"/>
          <w:sz w:val="28"/>
          <w:szCs w:val="28"/>
        </w:rPr>
      </w:pPr>
      <w:r>
        <w:rPr>
          <w:rFonts w:hint="eastAsia" w:ascii="仿宋_GB2312" w:eastAsia="仿宋_GB2312"/>
          <w:b/>
          <w:color w:val="000000"/>
          <w:sz w:val="28"/>
          <w:szCs w:val="28"/>
        </w:rPr>
        <w:t>五、验收结论</w:t>
      </w:r>
    </w:p>
    <w:p>
      <w:pPr>
        <w:pStyle w:val="22"/>
        <w:tabs>
          <w:tab w:val="left" w:pos="1071"/>
        </w:tabs>
        <w:snapToGrid w:val="0"/>
        <w:spacing w:before="0" w:line="360" w:lineRule="auto"/>
        <w:ind w:firstLine="560" w:firstLineChars="200"/>
        <w:rPr>
          <w:rFonts w:ascii="仿宋_GB2312" w:eastAsia="仿宋_GB2312" w:hAnsiTheme="minorHAnsi" w:cstheme="minorBidi"/>
          <w:spacing w:val="0"/>
          <w:sz w:val="26"/>
          <w:szCs w:val="26"/>
        </w:rPr>
      </w:pPr>
      <w:r>
        <w:rPr>
          <w:rFonts w:hint="eastAsia" w:ascii="仿宋_GB2312" w:hAnsi="宋体" w:eastAsia="仿宋_GB2312"/>
          <w:bCs/>
          <w:sz w:val="26"/>
          <w:szCs w:val="26"/>
        </w:rPr>
        <w:t>新乡市华幸生物科技有限公司</w:t>
      </w:r>
      <w:r>
        <w:rPr>
          <w:rFonts w:hint="eastAsia" w:ascii="仿宋_GB2312" w:hAnsi="Calibri" w:eastAsia="仿宋_GB2312" w:cs="Times New Roman"/>
          <w:bCs/>
          <w:color w:val="000000"/>
          <w:sz w:val="26"/>
          <w:szCs w:val="26"/>
        </w:rPr>
        <w:t>年产30000吨葡萄糖酸钠、1200吨沙坦联苯项目</w:t>
      </w:r>
      <w:r>
        <w:rPr>
          <w:rFonts w:hint="eastAsia" w:ascii="仿宋_GB2312" w:eastAsia="仿宋_GB2312" w:hAnsiTheme="minorHAnsi" w:cstheme="minorBidi"/>
          <w:spacing w:val="0"/>
          <w:sz w:val="26"/>
          <w:szCs w:val="26"/>
        </w:rPr>
        <w:t>环保手续齐全，建设过程中执行了环境影响评价和“三同时”制度，主要污染物均达标排放，竣工验收报告编制基本符合建设项目竣工环境保护技术规范，不存在重大缺项、遗漏。</w:t>
      </w:r>
    </w:p>
    <w:p>
      <w:pPr>
        <w:pStyle w:val="22"/>
        <w:tabs>
          <w:tab w:val="left" w:pos="1071"/>
        </w:tabs>
        <w:snapToGrid w:val="0"/>
        <w:spacing w:before="0" w:line="360" w:lineRule="auto"/>
        <w:ind w:firstLine="520" w:firstLineChars="200"/>
        <w:rPr>
          <w:rFonts w:ascii="仿宋_GB2312" w:eastAsia="仿宋_GB2312" w:hAnsiTheme="minorHAnsi" w:cstheme="minorBidi"/>
          <w:spacing w:val="0"/>
          <w:sz w:val="26"/>
          <w:szCs w:val="26"/>
        </w:rPr>
      </w:pPr>
      <w:r>
        <w:rPr>
          <w:rFonts w:hint="eastAsia" w:ascii="仿宋_GB2312" w:eastAsia="仿宋_GB2312" w:hAnsiTheme="minorHAnsi" w:cstheme="minorBidi"/>
          <w:spacing w:val="0"/>
          <w:sz w:val="26"/>
          <w:szCs w:val="26"/>
        </w:rPr>
        <w:t>综上，验收工作组一致同意本项目已建成的</w:t>
      </w:r>
      <w:r>
        <w:rPr>
          <w:rFonts w:hint="eastAsia" w:ascii="仿宋_GB2312" w:eastAsia="仿宋_GB2312" w:hAnsiTheme="minorHAnsi" w:cstheme="minorBidi"/>
          <w:spacing w:val="0"/>
          <w:sz w:val="26"/>
          <w:szCs w:val="26"/>
          <w:lang w:eastAsia="zh-CN"/>
        </w:rPr>
        <w:t>沙坦联苯生产线</w:t>
      </w:r>
      <w:r>
        <w:rPr>
          <w:rFonts w:hint="eastAsia" w:ascii="仿宋_GB2312" w:eastAsia="仿宋_GB2312" w:hAnsiTheme="minorHAnsi" w:cstheme="minorBidi"/>
          <w:spacing w:val="0"/>
          <w:sz w:val="26"/>
          <w:szCs w:val="26"/>
        </w:rPr>
        <w:t>通过竣工环境保护验收。</w:t>
      </w:r>
    </w:p>
    <w:p>
      <w:pPr>
        <w:pStyle w:val="27"/>
        <w:snapToGrid w:val="0"/>
        <w:spacing w:before="0" w:beforeAutospacing="0" w:after="0" w:afterAutospacing="0" w:line="360" w:lineRule="auto"/>
        <w:jc w:val="both"/>
        <w:outlineLvl w:val="0"/>
        <w:rPr>
          <w:rFonts w:ascii="仿宋_GB2312" w:eastAsia="仿宋_GB2312" w:hAnsiTheme="minorHAnsi" w:cstheme="minorBidi"/>
          <w:sz w:val="26"/>
          <w:szCs w:val="26"/>
        </w:rPr>
      </w:pPr>
      <w:r>
        <w:rPr>
          <w:rFonts w:hint="eastAsia" w:ascii="仿宋_GB2312" w:eastAsia="仿宋_GB2312"/>
          <w:b/>
          <w:color w:val="000000"/>
          <w:sz w:val="28"/>
          <w:szCs w:val="28"/>
        </w:rPr>
        <w:t>六、后续要求</w:t>
      </w:r>
    </w:p>
    <w:p>
      <w:pPr>
        <w:pStyle w:val="7"/>
        <w:spacing w:line="360" w:lineRule="auto"/>
        <w:ind w:left="0" w:firstLine="0"/>
        <w:rPr>
          <w:rFonts w:ascii="仿宋_GB2312" w:eastAsia="仿宋_GB2312"/>
          <w:sz w:val="26"/>
          <w:szCs w:val="26"/>
        </w:rPr>
      </w:pPr>
      <w:r>
        <w:rPr>
          <w:rFonts w:hint="eastAsia" w:ascii="仿宋_GB2312" w:eastAsia="仿宋_GB2312"/>
          <w:sz w:val="26"/>
          <w:szCs w:val="26"/>
        </w:rPr>
        <w:t>（1）加强环境保护设施的运行与维护管理，设置专人负责，做好运维记录。</w:t>
      </w:r>
    </w:p>
    <w:p>
      <w:pPr>
        <w:pStyle w:val="27"/>
        <w:snapToGrid w:val="0"/>
        <w:spacing w:before="0" w:beforeAutospacing="0" w:after="0" w:afterAutospacing="0" w:line="360" w:lineRule="auto"/>
        <w:jc w:val="both"/>
        <w:outlineLvl w:val="0"/>
        <w:rPr>
          <w:rFonts w:ascii="仿宋_GB2312" w:eastAsia="仿宋_GB2312"/>
          <w:b/>
          <w:color w:val="000000"/>
          <w:sz w:val="28"/>
          <w:szCs w:val="28"/>
        </w:rPr>
      </w:pPr>
      <w:r>
        <w:rPr>
          <w:rFonts w:hint="eastAsia" w:ascii="仿宋_GB2312" w:eastAsia="仿宋_GB2312"/>
          <w:b/>
          <w:color w:val="000000"/>
          <w:sz w:val="28"/>
          <w:szCs w:val="28"/>
        </w:rPr>
        <w:t xml:space="preserve">七、验收人员信息 </w:t>
      </w:r>
    </w:p>
    <w:p>
      <w:pPr>
        <w:pStyle w:val="22"/>
        <w:tabs>
          <w:tab w:val="left" w:pos="1071"/>
        </w:tabs>
        <w:snapToGrid w:val="0"/>
        <w:spacing w:before="0" w:line="360" w:lineRule="auto"/>
        <w:ind w:firstLine="560" w:firstLineChars="200"/>
        <w:rPr>
          <w:rFonts w:ascii="仿宋_GB2312" w:hAnsi="宋体" w:eastAsia="仿宋_GB2312"/>
          <w:sz w:val="27"/>
          <w:szCs w:val="27"/>
        </w:rPr>
      </w:pPr>
      <w:r>
        <w:rPr>
          <w:rFonts w:hint="eastAsia" w:ascii="仿宋_GB2312" w:eastAsia="仿宋_GB2312" w:hAnsiTheme="minorHAnsi" w:cstheme="minorBidi"/>
          <w:sz w:val="26"/>
          <w:szCs w:val="26"/>
        </w:rPr>
        <w:t>验收人员信息情况见附表。</w:t>
      </w:r>
    </w:p>
    <w:p>
      <w:pPr>
        <w:snapToGrid w:val="0"/>
        <w:spacing w:line="360" w:lineRule="auto"/>
        <w:ind w:right="540"/>
        <w:jc w:val="right"/>
        <w:rPr>
          <w:rFonts w:ascii="仿宋_GB2312" w:hAnsi="宋体" w:eastAsia="仿宋_GB2312"/>
          <w:sz w:val="27"/>
          <w:szCs w:val="27"/>
        </w:rPr>
      </w:pPr>
      <w:r>
        <w:rPr>
          <w:rFonts w:hint="eastAsia" w:ascii="仿宋_GB2312" w:hAnsi="宋体" w:eastAsia="仿宋_GB2312"/>
          <w:sz w:val="27"/>
          <w:szCs w:val="27"/>
        </w:rPr>
        <w:t>验收工作组</w:t>
      </w:r>
    </w:p>
    <w:p>
      <w:pPr>
        <w:snapToGrid w:val="0"/>
        <w:spacing w:line="360" w:lineRule="auto"/>
        <w:ind w:right="540"/>
        <w:jc w:val="right"/>
        <w:rPr>
          <w:rFonts w:ascii="仿宋_GB2312" w:hAnsi="宋体" w:eastAsia="仿宋_GB2312"/>
          <w:sz w:val="27"/>
          <w:szCs w:val="27"/>
        </w:rPr>
      </w:pPr>
      <w:r>
        <w:rPr>
          <w:rFonts w:hint="eastAsia" w:ascii="仿宋_GB2312" w:hAnsi="宋体" w:eastAsia="仿宋_GB2312"/>
          <w:sz w:val="27"/>
          <w:szCs w:val="27"/>
        </w:rPr>
        <w:t xml:space="preserve">   2020年1月20日</w:t>
      </w:r>
    </w:p>
    <w:p>
      <w:pPr>
        <w:pStyle w:val="2"/>
      </w:pPr>
    </w:p>
    <w:p>
      <w:pPr>
        <w:snapToGrid w:val="0"/>
        <w:spacing w:line="360" w:lineRule="auto"/>
        <w:ind w:right="540"/>
        <w:jc w:val="right"/>
        <w:rPr>
          <w:rFonts w:ascii="仿宋_GB2312" w:hAnsi="宋体" w:eastAsia="仿宋_GB2312" w:cs="宋体"/>
          <w:kern w:val="0"/>
          <w:sz w:val="27"/>
          <w:szCs w:val="27"/>
        </w:rPr>
      </w:pPr>
    </w:p>
    <w:sectPr>
      <w:footerReference r:id="rId3" w:type="default"/>
      <w:pgSz w:w="11906" w:h="16838"/>
      <w:pgMar w:top="1440" w:right="1588" w:bottom="1440" w:left="1797" w:header="851" w:footer="851"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998102"/>
    </w:sdtPr>
    <w:sdtEndPr>
      <w:rPr>
        <w:rFonts w:ascii="Times New Roman" w:hAnsi="Times New Roman" w:cs="Times New Roman"/>
      </w:rPr>
    </w:sdtEndPr>
    <w:sdtContent>
      <w:p>
        <w:pPr>
          <w:pStyle w:val="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6 -</w:t>
        </w:r>
        <w:r>
          <w:rPr>
            <w:rFonts w:ascii="Times New Roman" w:hAnsi="Times New Roman" w:cs="Times New Roman"/>
          </w:rP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C77"/>
    <w:rsid w:val="000750A1"/>
    <w:rsid w:val="00145D4C"/>
    <w:rsid w:val="001B33D9"/>
    <w:rsid w:val="001D7C11"/>
    <w:rsid w:val="0021437F"/>
    <w:rsid w:val="00246219"/>
    <w:rsid w:val="002C1394"/>
    <w:rsid w:val="002E0E2A"/>
    <w:rsid w:val="00311448"/>
    <w:rsid w:val="003440CC"/>
    <w:rsid w:val="003979D9"/>
    <w:rsid w:val="003B379F"/>
    <w:rsid w:val="003C150C"/>
    <w:rsid w:val="00455E8B"/>
    <w:rsid w:val="004668B3"/>
    <w:rsid w:val="004846FD"/>
    <w:rsid w:val="00494031"/>
    <w:rsid w:val="004F3A63"/>
    <w:rsid w:val="005760AA"/>
    <w:rsid w:val="00592A20"/>
    <w:rsid w:val="005E718F"/>
    <w:rsid w:val="005F466F"/>
    <w:rsid w:val="00610103"/>
    <w:rsid w:val="00640385"/>
    <w:rsid w:val="00665AFA"/>
    <w:rsid w:val="00676544"/>
    <w:rsid w:val="007326D5"/>
    <w:rsid w:val="00745898"/>
    <w:rsid w:val="007470D6"/>
    <w:rsid w:val="00800CB0"/>
    <w:rsid w:val="00851CB6"/>
    <w:rsid w:val="00862F21"/>
    <w:rsid w:val="00865232"/>
    <w:rsid w:val="00880B34"/>
    <w:rsid w:val="00892295"/>
    <w:rsid w:val="008F61FB"/>
    <w:rsid w:val="00984759"/>
    <w:rsid w:val="009C2D3B"/>
    <w:rsid w:val="009F6293"/>
    <w:rsid w:val="00A03393"/>
    <w:rsid w:val="00A07184"/>
    <w:rsid w:val="00A26F22"/>
    <w:rsid w:val="00A84FB9"/>
    <w:rsid w:val="00AA3583"/>
    <w:rsid w:val="00AA392A"/>
    <w:rsid w:val="00AB17EA"/>
    <w:rsid w:val="00AD432D"/>
    <w:rsid w:val="00B716A2"/>
    <w:rsid w:val="00B7509A"/>
    <w:rsid w:val="00BA54C5"/>
    <w:rsid w:val="00C07EB0"/>
    <w:rsid w:val="00C25FCA"/>
    <w:rsid w:val="00C32C08"/>
    <w:rsid w:val="00C33C30"/>
    <w:rsid w:val="00C635CE"/>
    <w:rsid w:val="00CC74F2"/>
    <w:rsid w:val="00D158BF"/>
    <w:rsid w:val="00D57C77"/>
    <w:rsid w:val="00D758B8"/>
    <w:rsid w:val="00D81BA7"/>
    <w:rsid w:val="00D967E4"/>
    <w:rsid w:val="00DE7980"/>
    <w:rsid w:val="00E068AE"/>
    <w:rsid w:val="00E13A53"/>
    <w:rsid w:val="00EC2330"/>
    <w:rsid w:val="00EE136D"/>
    <w:rsid w:val="00EE71F4"/>
    <w:rsid w:val="00EF55A7"/>
    <w:rsid w:val="00F539AE"/>
    <w:rsid w:val="00F847FA"/>
    <w:rsid w:val="00FB3265"/>
    <w:rsid w:val="00FC0DA3"/>
    <w:rsid w:val="00FD0808"/>
    <w:rsid w:val="01124D2F"/>
    <w:rsid w:val="0B7C3246"/>
    <w:rsid w:val="0ECB2F8C"/>
    <w:rsid w:val="16BC22C2"/>
    <w:rsid w:val="18C432DF"/>
    <w:rsid w:val="1F474920"/>
    <w:rsid w:val="1FEE25C2"/>
    <w:rsid w:val="221F2744"/>
    <w:rsid w:val="2285793B"/>
    <w:rsid w:val="232873C8"/>
    <w:rsid w:val="23C645FD"/>
    <w:rsid w:val="290B1C6A"/>
    <w:rsid w:val="29F27205"/>
    <w:rsid w:val="33AB4DE4"/>
    <w:rsid w:val="39D36708"/>
    <w:rsid w:val="3CD663B4"/>
    <w:rsid w:val="40796897"/>
    <w:rsid w:val="44220FAA"/>
    <w:rsid w:val="49347A1F"/>
    <w:rsid w:val="57D901F3"/>
    <w:rsid w:val="597E5046"/>
    <w:rsid w:val="59F41CF9"/>
    <w:rsid w:val="5DAF5A10"/>
    <w:rsid w:val="6A0802C0"/>
    <w:rsid w:val="6A711136"/>
    <w:rsid w:val="6C0B1BA5"/>
    <w:rsid w:val="6C426C65"/>
    <w:rsid w:val="6D2858E7"/>
    <w:rsid w:val="71DB7C08"/>
    <w:rsid w:val="7E0B2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5">
    <w:name w:val="annotation text"/>
    <w:basedOn w:val="1"/>
    <w:link w:val="23"/>
    <w:qFormat/>
    <w:uiPriority w:val="0"/>
    <w:pPr>
      <w:jc w:val="left"/>
    </w:pPr>
    <w:rPr>
      <w:szCs w:val="24"/>
    </w:rPr>
  </w:style>
  <w:style w:type="paragraph" w:styleId="6">
    <w:name w:val="Body Text Indent"/>
    <w:basedOn w:val="1"/>
    <w:qFormat/>
    <w:uiPriority w:val="0"/>
    <w:pPr>
      <w:ind w:firstLine="480"/>
    </w:pPr>
    <w:rPr>
      <w:sz w:val="24"/>
    </w:rPr>
  </w:style>
  <w:style w:type="paragraph" w:styleId="7">
    <w:name w:val="Block Text"/>
    <w:basedOn w:val="1"/>
    <w:qFormat/>
    <w:uiPriority w:val="0"/>
    <w:pPr>
      <w:snapToGrid w:val="0"/>
      <w:spacing w:line="408" w:lineRule="auto"/>
      <w:ind w:left="-113" w:right="-510" w:firstLine="510"/>
    </w:pPr>
    <w:rPr>
      <w:sz w:val="24"/>
      <w:szCs w:val="20"/>
    </w:rPr>
  </w:style>
  <w:style w:type="paragraph" w:styleId="8">
    <w:name w:val="Balloon Text"/>
    <w:basedOn w:val="1"/>
    <w:link w:val="25"/>
    <w:semiHidden/>
    <w:unhideWhenUsed/>
    <w:qFormat/>
    <w:uiPriority w:val="99"/>
    <w:rPr>
      <w:sz w:val="18"/>
      <w:szCs w:val="18"/>
    </w:rPr>
  </w:style>
  <w:style w:type="paragraph" w:styleId="9">
    <w:name w:val="footer"/>
    <w:basedOn w:val="1"/>
    <w:link w:val="30"/>
    <w:unhideWhenUsed/>
    <w:qFormat/>
    <w:uiPriority w:val="99"/>
    <w:pPr>
      <w:tabs>
        <w:tab w:val="center" w:pos="4153"/>
        <w:tab w:val="right" w:pos="8306"/>
      </w:tabs>
      <w:snapToGrid w:val="0"/>
      <w:jc w:val="left"/>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1"/>
    <w:qFormat/>
    <w:uiPriority w:val="0"/>
    <w:pPr>
      <w:spacing w:after="120"/>
      <w:ind w:left="420" w:leftChars="200" w:firstLine="420"/>
    </w:pPr>
    <w:rPr>
      <w:rFonts w:ascii="Times New Roman" w:hAnsi="Times New Roman" w:eastAsia="宋体"/>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Char Char Char Char"/>
    <w:basedOn w:val="1"/>
    <w:qFormat/>
    <w:uiPriority w:val="0"/>
    <w:rPr>
      <w:rFonts w:ascii="Times New Roman" w:hAnsi="Times New Roman" w:eastAsia="宋体" w:cs="Times New Roman"/>
      <w:szCs w:val="24"/>
    </w:rPr>
  </w:style>
  <w:style w:type="paragraph" w:styleId="19">
    <w:name w:val="List Paragraph"/>
    <w:basedOn w:val="1"/>
    <w:qFormat/>
    <w:uiPriority w:val="34"/>
    <w:pPr>
      <w:ind w:firstLine="420" w:firstLineChars="200"/>
    </w:pPr>
  </w:style>
  <w:style w:type="character" w:customStyle="1" w:styleId="20">
    <w:name w:val="正文文本1"/>
    <w:basedOn w:val="21"/>
    <w:qFormat/>
    <w:uiPriority w:val="0"/>
    <w:rPr>
      <w:rFonts w:ascii="MingLiU" w:hAnsi="MingLiU" w:eastAsia="MingLiU" w:cs="MingLiU"/>
      <w:color w:val="000000"/>
      <w:spacing w:val="10"/>
      <w:w w:val="100"/>
      <w:position w:val="0"/>
      <w:sz w:val="20"/>
      <w:szCs w:val="20"/>
      <w:u w:val="none"/>
      <w:shd w:val="clear" w:color="auto" w:fill="FFFFFF"/>
      <w:lang w:val="zh-TW"/>
    </w:rPr>
  </w:style>
  <w:style w:type="character" w:customStyle="1" w:styleId="21">
    <w:name w:val="正文文本_"/>
    <w:basedOn w:val="14"/>
    <w:link w:val="22"/>
    <w:qFormat/>
    <w:uiPriority w:val="0"/>
    <w:rPr>
      <w:rFonts w:ascii="MingLiU" w:hAnsi="MingLiU" w:eastAsia="MingLiU" w:cs="MingLiU"/>
      <w:spacing w:val="10"/>
      <w:sz w:val="20"/>
      <w:szCs w:val="20"/>
      <w:shd w:val="clear" w:color="auto" w:fill="FFFFFF"/>
    </w:rPr>
  </w:style>
  <w:style w:type="paragraph" w:customStyle="1" w:styleId="22">
    <w:name w:val="正文文本3"/>
    <w:basedOn w:val="1"/>
    <w:link w:val="21"/>
    <w:qFormat/>
    <w:uiPriority w:val="0"/>
    <w:pPr>
      <w:shd w:val="clear" w:color="auto" w:fill="FFFFFF"/>
      <w:spacing w:before="360" w:line="624" w:lineRule="exact"/>
      <w:ind w:hanging="2440"/>
    </w:pPr>
    <w:rPr>
      <w:rFonts w:ascii="MingLiU" w:hAnsi="MingLiU" w:eastAsia="MingLiU" w:cs="MingLiU"/>
      <w:spacing w:val="10"/>
      <w:sz w:val="20"/>
      <w:szCs w:val="20"/>
    </w:rPr>
  </w:style>
  <w:style w:type="character" w:customStyle="1" w:styleId="23">
    <w:name w:val="批注文字 Char"/>
    <w:basedOn w:val="14"/>
    <w:link w:val="5"/>
    <w:qFormat/>
    <w:uiPriority w:val="0"/>
    <w:rPr>
      <w:szCs w:val="24"/>
    </w:rPr>
  </w:style>
  <w:style w:type="character" w:customStyle="1" w:styleId="24">
    <w:name w:val="批注文字 Char1"/>
    <w:basedOn w:val="14"/>
    <w:semiHidden/>
    <w:qFormat/>
    <w:uiPriority w:val="99"/>
  </w:style>
  <w:style w:type="character" w:customStyle="1" w:styleId="25">
    <w:name w:val="批注框文本 Char"/>
    <w:basedOn w:val="14"/>
    <w:link w:val="8"/>
    <w:semiHidden/>
    <w:qFormat/>
    <w:uiPriority w:val="99"/>
    <w:rPr>
      <w:sz w:val="18"/>
      <w:szCs w:val="18"/>
    </w:rPr>
  </w:style>
  <w:style w:type="paragraph" w:customStyle="1" w:styleId="26">
    <w:name w:val="表格内容"/>
    <w:basedOn w:val="1"/>
    <w:link w:val="28"/>
    <w:qFormat/>
    <w:uiPriority w:val="0"/>
    <w:pPr>
      <w:snapToGrid w:val="0"/>
      <w:jc w:val="center"/>
    </w:pPr>
    <w:rPr>
      <w:rFonts w:ascii="Times New Roman" w:hAnsi="Times New Roman" w:cs="Times New Roman"/>
      <w:kern w:val="0"/>
      <w:szCs w:val="21"/>
    </w:rPr>
  </w:style>
  <w:style w:type="paragraph" w:customStyle="1" w:styleId="27">
    <w:name w:val="普通(网站)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表格内容 Char"/>
    <w:basedOn w:val="14"/>
    <w:link w:val="26"/>
    <w:qFormat/>
    <w:uiPriority w:val="0"/>
    <w:rPr>
      <w:rFonts w:ascii="Times New Roman" w:hAnsi="Times New Roman" w:cs="Times New Roman"/>
      <w:kern w:val="0"/>
      <w:szCs w:val="21"/>
    </w:rPr>
  </w:style>
  <w:style w:type="character" w:customStyle="1" w:styleId="29">
    <w:name w:val="页眉 Char"/>
    <w:basedOn w:val="14"/>
    <w:link w:val="10"/>
    <w:qFormat/>
    <w:uiPriority w:val="99"/>
    <w:rPr>
      <w:sz w:val="18"/>
      <w:szCs w:val="18"/>
    </w:rPr>
  </w:style>
  <w:style w:type="character" w:customStyle="1" w:styleId="30">
    <w:name w:val="页脚 Char"/>
    <w:basedOn w:val="14"/>
    <w:link w:val="9"/>
    <w:qFormat/>
    <w:uiPriority w:val="99"/>
    <w:rPr>
      <w:sz w:val="18"/>
      <w:szCs w:val="18"/>
    </w:rPr>
  </w:style>
  <w:style w:type="character" w:customStyle="1" w:styleId="31">
    <w:name w:val="标题 1 Char"/>
    <w:basedOn w:val="14"/>
    <w:link w:val="3"/>
    <w:qFormat/>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583</Words>
  <Characters>3325</Characters>
  <Lines>27</Lines>
  <Paragraphs>7</Paragraphs>
  <TotalTime>46</TotalTime>
  <ScaleCrop>false</ScaleCrop>
  <LinksUpToDate>false</LinksUpToDate>
  <CharactersWithSpaces>3901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2018-09-26T10:15:00Z</dcterms:created>
  <dc:creator>china</dc:creator>
  <cp:lastModifiedBy>韩建华</cp:lastModifiedBy>
  <cp:lastPrinted>2020-02-10T06:52:00Z</cp:lastPrinted>
  <dcterms:modified xsi:type="dcterms:W3CDTF">2020-03-19T03:19:25Z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